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0845-2021-QEO</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成都千钟粟农业科技有限公司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2021年08月15日 下午至2021年08月15日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 xml:space="preserve">□单一体系审核    □结合审核   </w:t>
            </w:r>
            <w:r>
              <w:rPr>
                <w:rFonts w:hint="eastAsia" w:ascii="宋体"/>
                <w:b/>
                <w:szCs w:val="21"/>
                <w:lang w:eastAsia="zh-CN"/>
              </w:rPr>
              <w:t>☑</w:t>
            </w:r>
            <w:r>
              <w:rPr>
                <w:rFonts w:hint="eastAsia" w:ascii="宋体"/>
                <w:b/>
                <w:szCs w:val="21"/>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1140" w:type="dxa"/>
            <w:vAlign w:val="center"/>
          </w:tcPr>
          <w:p>
            <w:pPr>
              <w:spacing w:line="240" w:lineRule="exact"/>
              <w:jc w:val="center"/>
              <w:rPr>
                <w:b/>
                <w:color w:val="000000"/>
                <w:szCs w:val="21"/>
              </w:rPr>
            </w:pPr>
            <w:r>
              <w:rPr>
                <w:b/>
                <w:color w:val="000000"/>
                <w:szCs w:val="21"/>
              </w:rPr>
              <w:t>Q:29.07.09,29.14.01</w:t>
            </w:r>
          </w:p>
          <w:p>
            <w:pPr>
              <w:spacing w:line="240" w:lineRule="exact"/>
              <w:jc w:val="center"/>
              <w:rPr>
                <w:b/>
                <w:color w:val="000000"/>
                <w:szCs w:val="21"/>
              </w:rPr>
            </w:pPr>
            <w:r>
              <w:rPr>
                <w:b/>
                <w:color w:val="000000"/>
                <w:szCs w:val="21"/>
              </w:rPr>
              <w:t>E:29.07.09,29.14.01</w:t>
            </w:r>
          </w:p>
          <w:p>
            <w:pPr>
              <w:spacing w:line="240" w:lineRule="exact"/>
              <w:jc w:val="center"/>
              <w:rPr>
                <w:b/>
                <w:color w:val="000000"/>
                <w:szCs w:val="21"/>
              </w:rPr>
            </w:pPr>
            <w:r>
              <w:rPr>
                <w:b/>
                <w:color w:val="000000"/>
                <w:szCs w:val="21"/>
              </w:rPr>
              <w:t>O:29.07.09,29.14.01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2021-N0OHSMS-1262293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p>
            <w:pPr>
              <w:spacing w:line="240" w:lineRule="exact"/>
              <w:jc w:val="center"/>
              <w:rPr>
                <w:b/>
                <w:color w:val="000000"/>
                <w:szCs w:val="21"/>
              </w:rPr>
            </w:pPr>
            <w:r>
              <w:rPr>
                <w:b/>
                <w:color w:val="000000"/>
                <w:szCs w:val="21"/>
              </w:rPr>
              <w:t>2021-N1EMS-1265256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成都千钟粟农业科技有限公司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四川省成都市新都区斑竹园街道大江社区7组151号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四川省成都市新都区斑竹园街道大江社区7组151号</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610000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王瑞</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18829841889</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蒋绿军</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王家卫</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鲜肉和果蔬的零售；许可范围内预包装食品（含冷藏冷冻食品）（米、面粉、面条、食用油、调味品、肉制品、乳制品、禽蛋、饮料）的销售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市场调研→签订协议→组织采购用户产品与验收→发货与交付→售后服务</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鲜肉和果蔬的零售；许可范围内预包装食品（含冷藏冷冻食品）（米、面粉、面条、食用油、调味品、肉制品、乳制品、禽蛋、饮料）的销售</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29.07.09;29.14.01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鲜肉和果蔬的零售；许可范围内预包装食品（含冷藏冷冻食品）（米、面粉、面条、食用油、调味品、肉制品、乳制品、禽蛋、饮料）的销售所涉及场所的相关环境管理活动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29.07.09;29.14.01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鲜肉和果蔬的零售；许可范围内预包装食品（含冷藏冷冻食品）（米、面粉、面条、食用油、调味品、肉制品、乳制品、禽蛋、饮料）的销售所涉及场所的相关职业健康安全管理活动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cs="宋体"/>
                <w:color w:val="000000"/>
                <w:kern w:val="0"/>
                <w:szCs w:val="24"/>
              </w:rPr>
              <w:t>29.07.09;29.14.01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成都千钟粟农业科技有限公司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四川省成都市新都区斑竹园街道大江社区7组151号</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四川省成都市新都区斑竹园街道大江社区7组151号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pStyle w:val="21"/>
              <w:rPr>
                <w:rFonts w:eastAsia="黑体" w:cs="Arial"/>
                <w:sz w:val="21"/>
                <w:szCs w:val="21"/>
                <w:lang w:val="en-US" w:eastAsia="ja-JP"/>
              </w:rPr>
            </w:pPr>
            <w:r>
              <w:rPr>
                <w:rFonts w:hint="eastAsia" w:ascii="宋体" w:hAnsi="宋体" w:cs="宋体"/>
                <w:color w:val="000000"/>
                <w:kern w:val="0"/>
                <w:szCs w:val="21"/>
              </w:rPr>
              <w:t>鲜肉和果蔬的零售；许可范围内预包装食品（含冷藏冷冻食品）（米、面粉、面条、食用油、调味品、肉制品、乳制品、禽蛋、饮料）的销售</w:t>
            </w:r>
          </w:p>
        </w:tc>
        <w:tc>
          <w:tcPr>
            <w:tcW w:w="669" w:type="dxa"/>
            <w:vAlign w:val="center"/>
          </w:tcPr>
          <w:p>
            <w:pPr>
              <w:spacing w:before="40" w:after="40"/>
              <w:rPr>
                <w:rFonts w:eastAsia="黑体"/>
                <w:szCs w:val="21"/>
                <w:lang w:eastAsia="ja-JP"/>
              </w:rPr>
            </w:pPr>
            <w:r>
              <w:rPr>
                <w:rFonts w:hint="eastAsia"/>
                <w:sz w:val="22"/>
                <w:szCs w:val="22"/>
                <w:lang w:val="en-US" w:eastAsia="zh-CN"/>
              </w:rPr>
              <w:t>GB/T 19001-2016</w:t>
            </w:r>
          </w:p>
        </w:tc>
        <w:tc>
          <w:tcPr>
            <w:tcW w:w="668" w:type="dxa"/>
            <w:shd w:val="clear" w:color="auto" w:fill="FFFFFF"/>
            <w:vAlign w:val="top"/>
          </w:tcPr>
          <w:p>
            <w:pPr>
              <w:rPr>
                <w:rFonts w:eastAsia="黑体"/>
                <w:szCs w:val="21"/>
              </w:rPr>
            </w:pPr>
            <w:r>
              <w:rPr>
                <w:rFonts w:hint="eastAsia"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eastAsia="黑体"/>
                <w:szCs w:val="21"/>
                <w:lang w:eastAsia="ja-JP"/>
              </w:rPr>
            </w:pPr>
            <w:r>
              <w:rPr>
                <w:rFonts w:hint="eastAsia" w:ascii="宋体" w:hAnsi="宋体" w:cs="宋体"/>
                <w:color w:val="000000"/>
                <w:kern w:val="0"/>
                <w:szCs w:val="21"/>
              </w:rPr>
              <w:t>成都千钟粟农业科技有限公司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四川省成都市新都区斑竹园街道大江社区7组151号</w:t>
            </w:r>
          </w:p>
        </w:tc>
        <w:tc>
          <w:tcPr>
            <w:tcW w:w="2267" w:type="dxa"/>
            <w:vAlign w:val="top"/>
          </w:tcPr>
          <w:p>
            <w:pPr>
              <w:spacing w:before="40" w:after="40"/>
              <w:rPr>
                <w:rFonts w:eastAsia="黑体"/>
                <w:szCs w:val="21"/>
                <w:lang w:eastAsia="ja-JP"/>
              </w:rPr>
            </w:pPr>
            <w:r>
              <w:rPr>
                <w:rFonts w:hint="eastAsia" w:ascii="宋体" w:hAnsi="宋体" w:cs="宋体"/>
                <w:color w:val="000000"/>
                <w:kern w:val="0"/>
                <w:szCs w:val="21"/>
              </w:rPr>
              <w:t>四川省成都市新都区斑竹园街道大江社区7组151号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spacing w:before="40" w:after="40"/>
              <w:rPr>
                <w:rFonts w:eastAsia="黑体"/>
                <w:szCs w:val="21"/>
                <w:lang w:eastAsia="ja-JP"/>
              </w:rPr>
            </w:pPr>
            <w:r>
              <w:rPr>
                <w:rFonts w:hint="eastAsia" w:ascii="宋体" w:hAnsi="宋体" w:cs="宋体"/>
                <w:color w:val="000000"/>
                <w:kern w:val="0"/>
                <w:szCs w:val="21"/>
              </w:rPr>
              <w:t>鲜肉和果蔬的零售；许可范围内预包装食品（含冷藏冷冻食品）（米、面粉、面条、食用油、调味品、肉制品、乳制品、禽蛋、饮料）的销售所涉及场所的相关环境管理活动</w:t>
            </w:r>
          </w:p>
        </w:tc>
        <w:tc>
          <w:tcPr>
            <w:tcW w:w="669" w:type="dxa"/>
            <w:vAlign w:val="center"/>
          </w:tcPr>
          <w:p>
            <w:pPr>
              <w:spacing w:before="40" w:after="40"/>
              <w:rPr>
                <w:rFonts w:eastAsia="黑体"/>
                <w:szCs w:val="21"/>
                <w:lang w:eastAsia="ja-JP"/>
              </w:rPr>
            </w:pPr>
            <w:r>
              <w:rPr>
                <w:rFonts w:hint="eastAsia"/>
                <w:sz w:val="22"/>
                <w:szCs w:val="22"/>
                <w:lang w:val="en-US" w:eastAsia="zh-CN"/>
              </w:rPr>
              <w:t xml:space="preserve">GB/T 24001-2016 </w:t>
            </w:r>
          </w:p>
        </w:tc>
        <w:tc>
          <w:tcPr>
            <w:tcW w:w="668" w:type="dxa"/>
            <w:shd w:val="clear" w:color="auto" w:fill="FFFFFF"/>
            <w:vAlign w:val="top"/>
          </w:tcPr>
          <w:p>
            <w:pPr>
              <w:rPr>
                <w:rFonts w:eastAsia="黑体"/>
                <w:szCs w:val="21"/>
              </w:rPr>
            </w:pPr>
            <w:r>
              <w:rPr>
                <w:rFonts w:hint="eastAsia"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eastAsia="黑体"/>
                <w:szCs w:val="21"/>
                <w:lang w:eastAsia="ja-JP"/>
              </w:rPr>
            </w:pPr>
            <w:r>
              <w:rPr>
                <w:rFonts w:hint="eastAsia" w:ascii="宋体" w:hAnsi="宋体" w:cs="宋体"/>
                <w:color w:val="000000"/>
                <w:kern w:val="0"/>
                <w:szCs w:val="21"/>
              </w:rPr>
              <w:t>成都千钟粟农业科技有限公司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四川省成都市新都区斑竹园街道大江社区7组151号</w:t>
            </w:r>
          </w:p>
        </w:tc>
        <w:tc>
          <w:tcPr>
            <w:tcW w:w="2267" w:type="dxa"/>
            <w:vAlign w:val="top"/>
          </w:tcPr>
          <w:p>
            <w:pPr>
              <w:spacing w:before="40" w:after="40"/>
              <w:rPr>
                <w:rFonts w:eastAsia="黑体"/>
                <w:szCs w:val="21"/>
                <w:lang w:eastAsia="ja-JP"/>
              </w:rPr>
            </w:pPr>
            <w:r>
              <w:rPr>
                <w:rFonts w:hint="eastAsia" w:ascii="宋体" w:hAnsi="宋体" w:cs="宋体"/>
                <w:color w:val="000000"/>
                <w:kern w:val="0"/>
                <w:szCs w:val="21"/>
              </w:rPr>
              <w:t>四川省成都市新都区斑竹园街道大江社区7组151号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spacing w:before="40" w:after="40"/>
              <w:rPr>
                <w:rFonts w:eastAsia="黑体"/>
                <w:szCs w:val="21"/>
                <w:lang w:eastAsia="ja-JP"/>
              </w:rPr>
            </w:pPr>
            <w:r>
              <w:rPr>
                <w:rFonts w:hint="eastAsia" w:ascii="宋体" w:hAnsi="宋体" w:cs="宋体"/>
                <w:color w:val="000000"/>
                <w:kern w:val="0"/>
                <w:szCs w:val="21"/>
              </w:rPr>
              <w:t>鲜肉和果蔬的零售；许可范围内预包装食品（含冷藏冷冻食品）（米、面粉、面条、食用油、调味品、肉制品、乳制品、禽蛋、饮料）的销售所涉及场所的相关职业健康安全管理活动</w:t>
            </w:r>
          </w:p>
        </w:tc>
        <w:tc>
          <w:tcPr>
            <w:tcW w:w="669" w:type="dxa"/>
            <w:vAlign w:val="center"/>
          </w:tcPr>
          <w:p>
            <w:pPr>
              <w:spacing w:before="40" w:after="40"/>
              <w:rPr>
                <w:rFonts w:eastAsia="黑体"/>
                <w:szCs w:val="21"/>
                <w:lang w:eastAsia="ja-JP"/>
              </w:rPr>
            </w:pPr>
            <w:r>
              <w:rPr>
                <w:rFonts w:hint="eastAsia"/>
                <w:sz w:val="22"/>
                <w:szCs w:val="22"/>
                <w:lang w:val="en-US" w:eastAsia="zh-CN"/>
              </w:rPr>
              <w:t>GB/T 45001-2020</w:t>
            </w:r>
          </w:p>
        </w:tc>
        <w:tc>
          <w:tcPr>
            <w:tcW w:w="668" w:type="dxa"/>
            <w:shd w:val="clear" w:color="auto" w:fill="FFFFFF"/>
            <w:vAlign w:val="top"/>
          </w:tcPr>
          <w:p>
            <w:pPr>
              <w:rPr>
                <w:rFonts w:eastAsia="黑体"/>
                <w:szCs w:val="21"/>
              </w:rPr>
            </w:pPr>
            <w:r>
              <w:rPr>
                <w:rFonts w:hint="eastAsia"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pacing w:val="-10"/>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宋体" w:hAnsi="宋体"/>
                <w:color w:val="000000"/>
                <w:spacing w:val="-10"/>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pacing w:val="-10"/>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14-15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2021年7月28日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hint="eastAsia" w:ascii="宋体" w:hAnsi="宋体" w:eastAsia="宋体"/>
                <w:b/>
                <w:color w:val="000000"/>
                <w:szCs w:val="21"/>
                <w:lang w:eastAsia="zh-CN"/>
              </w:rPr>
            </w:pPr>
            <w:r>
              <w:rPr>
                <w:rFonts w:hint="eastAsia" w:ascii="宋体" w:hAnsi="宋体"/>
                <w:b/>
                <w:color w:val="000000"/>
                <w:szCs w:val="21"/>
                <w:lang w:eastAsia="zh-CN"/>
              </w:rPr>
              <w:t>无</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highlight w:val="none"/>
              </w:rPr>
            </w:pPr>
            <w:r>
              <w:rPr>
                <w:rFonts w:hint="eastAsia" w:ascii="宋体"/>
                <w:color w:val="000000"/>
                <w:szCs w:val="21"/>
                <w:highlight w:val="none"/>
                <w:lang w:eastAsia="zh-CN"/>
              </w:rPr>
              <w:t>☑</w:t>
            </w:r>
            <w:r>
              <w:rPr>
                <w:rFonts w:hint="eastAsia" w:ascii="宋体"/>
                <w:color w:val="000000"/>
                <w:szCs w:val="21"/>
                <w:highlight w:val="none"/>
              </w:rPr>
              <w:t xml:space="preserve">是     </w:t>
            </w:r>
          </w:p>
        </w:tc>
        <w:tc>
          <w:tcPr>
            <w:tcW w:w="1637"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highlight w:val="none"/>
              </w:rPr>
            </w:pPr>
            <w:r>
              <w:rPr>
                <w:rFonts w:hint="eastAsia" w:ascii="宋体"/>
                <w:color w:val="000000"/>
                <w:szCs w:val="21"/>
                <w:highlight w:val="none"/>
              </w:rPr>
              <w:t xml:space="preserve">是否需要型式试验                 </w:t>
            </w:r>
          </w:p>
        </w:tc>
        <w:tc>
          <w:tcPr>
            <w:tcW w:w="1063" w:type="dxa"/>
            <w:shd w:val="clear" w:color="auto" w:fill="DBEEF3" w:themeFill="accent5"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是否有</w:t>
            </w:r>
            <w:r>
              <w:rPr>
                <w:rFonts w:hint="eastAsia" w:ascii="宋体"/>
                <w:color w:val="000000"/>
                <w:szCs w:val="21"/>
                <w:highlight w:val="none"/>
              </w:rPr>
              <w:t>型式试验</w:t>
            </w:r>
            <w:r>
              <w:rPr>
                <w:rFonts w:hint="eastAsia" w:ascii="宋体" w:hAnsi="宋体"/>
                <w:color w:val="000000"/>
                <w:szCs w:val="21"/>
                <w:highlight w:val="none"/>
              </w:rPr>
              <w:t xml:space="preserve">报告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hd w:val="clear" w:color="auto" w:fill="EBF1DE" w:themeFill="accent3" w:themeFillTint="32"/>
      </w:pPr>
      <w:r>
        <w:br w:type="page"/>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239"/>
        <w:gridCol w:w="5626"/>
        <w:gridCol w:w="376"/>
        <w:gridCol w:w="627"/>
        <w:gridCol w:w="290"/>
        <w:gridCol w:w="1500"/>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8"/>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8"/>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highlight w:val="none"/>
              </w:rPr>
            </w:pPr>
            <w:r>
              <w:rPr>
                <w:rFonts w:hint="eastAsia" w:ascii="宋体" w:hAnsi="宋体"/>
                <w:color w:val="000000"/>
                <w:szCs w:val="21"/>
                <w:highlight w:val="none"/>
              </w:rPr>
              <w:t xml:space="preserve">（6）对特种设备是否按法规要求检测和备案且完好运行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3"/>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7"/>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26" w:type="dxa"/>
          <w:cantSplit/>
          <w:trHeight w:val="57" w:hRule="atLeast"/>
        </w:trPr>
        <w:tc>
          <w:tcPr>
            <w:tcW w:w="9754" w:type="dxa"/>
            <w:gridSpan w:val="8"/>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9754" w:type="dxa"/>
            <w:gridSpan w:val="8"/>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5"/>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u w:val="single"/>
              </w:rPr>
              <w:t>2021-08-</w:t>
            </w:r>
            <w:bookmarkEnd w:id="34"/>
            <w:r>
              <w:rPr>
                <w:rFonts w:hint="eastAsia" w:ascii="宋体"/>
                <w:b/>
                <w:color w:val="000000"/>
                <w:szCs w:val="21"/>
                <w:u w:val="single"/>
                <w:lang w:val="en-US" w:eastAsia="zh-CN"/>
              </w:rPr>
              <w:t>28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鲜肉和果蔬的零售；许可范围内预包装食品（含冷藏冷冻食品）（米、面粉、面条、食用油、调味品、肉制品、乳制品、禽蛋、饮料）的销售</w:t>
            </w:r>
          </w:p>
        </w:tc>
        <w:tc>
          <w:tcPr>
            <w:tcW w:w="1541" w:type="dxa"/>
            <w:vAlign w:val="center"/>
          </w:tcPr>
          <w:p>
            <w:pPr>
              <w:spacing w:line="400" w:lineRule="exact"/>
              <w:rPr>
                <w:rFonts w:ascii="宋体" w:hAnsi="宋体"/>
                <w:b/>
                <w:color w:val="000000"/>
                <w:szCs w:val="21"/>
              </w:rPr>
            </w:pPr>
            <w:r>
              <w:t>29.07.09;29.14.01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鲜肉和果蔬的零售；许可范围内预包装食品（含冷藏冷冻食品）（米、面粉、面条、食用油、调味品、肉制品、乳制品、禽蛋、饮料）的销售所涉及场所的相关环境管理活动</w:t>
            </w:r>
          </w:p>
        </w:tc>
        <w:tc>
          <w:tcPr>
            <w:tcW w:w="1541" w:type="dxa"/>
            <w:vAlign w:val="center"/>
          </w:tcPr>
          <w:p>
            <w:pPr>
              <w:spacing w:line="400" w:lineRule="exact"/>
              <w:rPr>
                <w:rFonts w:ascii="宋体" w:hAnsi="宋体"/>
                <w:b/>
                <w:color w:val="000000"/>
                <w:szCs w:val="21"/>
              </w:rPr>
            </w:pPr>
            <w:r>
              <w:t>29.07.09;29.14.01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鲜肉和果蔬的零售；许可范围内预包装食品（含冷藏冷冻食品）（米、面粉、面条、食用油、调味品、肉制品、乳制品、禽蛋、饮料）的销售所涉及场所的相关职业健康安全管理活动</w:t>
            </w:r>
          </w:p>
        </w:tc>
        <w:tc>
          <w:tcPr>
            <w:tcW w:w="1541" w:type="dxa"/>
            <w:vAlign w:val="center"/>
          </w:tcPr>
          <w:p>
            <w:pPr>
              <w:spacing w:line="400" w:lineRule="exact"/>
              <w:rPr>
                <w:rFonts w:ascii="宋体" w:hAnsi="宋体"/>
                <w:b/>
                <w:color w:val="000000"/>
                <w:szCs w:val="21"/>
              </w:rPr>
            </w:pPr>
            <w:r>
              <w:t>29.07.09;29.14.01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4897120</wp:posOffset>
            </wp:positionH>
            <wp:positionV relativeFrom="paragraph">
              <wp:posOffset>336550</wp:posOffset>
            </wp:positionV>
            <wp:extent cx="508000" cy="341630"/>
            <wp:effectExtent l="0" t="0" r="10160" b="8890"/>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6"/>
                    <a:stretch>
                      <a:fillRect/>
                    </a:stretch>
                  </pic:blipFill>
                  <pic:spPr>
                    <a:xfrm>
                      <a:off x="0" y="0"/>
                      <a:ext cx="508000" cy="341630"/>
                    </a:xfrm>
                    <a:prstGeom prst="rect">
                      <a:avLst/>
                    </a:prstGeom>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1852930</wp:posOffset>
            </wp:positionH>
            <wp:positionV relativeFrom="paragraph">
              <wp:posOffset>264160</wp:posOffset>
            </wp:positionV>
            <wp:extent cx="445770" cy="462280"/>
            <wp:effectExtent l="0" t="0" r="11430" b="1016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445770" cy="462280"/>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4064635</wp:posOffset>
            </wp:positionH>
            <wp:positionV relativeFrom="paragraph">
              <wp:posOffset>365125</wp:posOffset>
            </wp:positionV>
            <wp:extent cx="683895" cy="312420"/>
            <wp:effectExtent l="0" t="0" r="1905" b="762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683895" cy="31242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2021年8月15日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70"/>
        <w:gridCol w:w="1755"/>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58"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55"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358"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用于物品秤重的电子台秤未按期检定或校准</w:t>
            </w:r>
          </w:p>
        </w:tc>
        <w:tc>
          <w:tcPr>
            <w:tcW w:w="1755" w:type="dxa"/>
            <w:vAlign w:val="center"/>
          </w:tcPr>
          <w:p>
            <w:pPr>
              <w:pStyle w:val="8"/>
              <w:pBdr>
                <w:bottom w:val="none" w:color="auto" w:sz="0" w:space="0"/>
              </w:pBdr>
              <w:tabs>
                <w:tab w:val="center" w:pos="5737"/>
                <w:tab w:val="clear" w:pos="4153"/>
              </w:tabs>
              <w:jc w:val="center"/>
              <w:rPr>
                <w:rFonts w:hint="eastAsia"/>
                <w:color w:val="000000"/>
                <w:sz w:val="21"/>
                <w:szCs w:val="21"/>
                <w:lang w:val="en-US" w:eastAsia="zh-CN"/>
              </w:rPr>
            </w:pPr>
            <w:r>
              <w:rPr>
                <w:rFonts w:hint="eastAsia"/>
                <w:color w:val="000000"/>
                <w:sz w:val="21"/>
                <w:szCs w:val="21"/>
                <w:lang w:val="en-US" w:eastAsia="zh-CN"/>
              </w:rPr>
              <w:t>GB/T19001-2016</w:t>
            </w:r>
          </w:p>
        </w:tc>
        <w:tc>
          <w:tcPr>
            <w:tcW w:w="1133" w:type="dxa"/>
            <w:vAlign w:val="center"/>
          </w:tcPr>
          <w:p>
            <w:pPr>
              <w:pStyle w:val="8"/>
              <w:pBdr>
                <w:bottom w:val="none" w:color="auto" w:sz="0" w:space="0"/>
              </w:pBdr>
              <w:tabs>
                <w:tab w:val="center" w:pos="5737"/>
                <w:tab w:val="clear" w:pos="4153"/>
              </w:tabs>
              <w:jc w:val="center"/>
              <w:rPr>
                <w:rFonts w:hint="default"/>
                <w:color w:val="000000"/>
                <w:sz w:val="21"/>
                <w:szCs w:val="21"/>
                <w:lang w:val="en-US" w:eastAsia="zh-CN"/>
              </w:rPr>
            </w:pPr>
            <w:r>
              <w:rPr>
                <w:rFonts w:hint="eastAsia"/>
                <w:color w:val="000000"/>
                <w:sz w:val="21"/>
                <w:szCs w:val="21"/>
                <w:lang w:val="en-US" w:eastAsia="zh-CN"/>
              </w:rPr>
              <w:t>7.1.5</w:t>
            </w:r>
          </w:p>
        </w:tc>
        <w:tc>
          <w:tcPr>
            <w:tcW w:w="934" w:type="dxa"/>
            <w:vAlign w:val="center"/>
          </w:tcPr>
          <w:p>
            <w:pPr>
              <w:pStyle w:val="8"/>
              <w:pBdr>
                <w:bottom w:val="none" w:color="auto" w:sz="0" w:space="0"/>
              </w:pBdr>
              <w:ind w:right="600"/>
              <w:jc w:val="center"/>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358"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755"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358"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755"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358"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755"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358"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1755"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792480</wp:posOffset>
                  </wp:positionH>
                  <wp:positionV relativeFrom="paragraph">
                    <wp:posOffset>6350</wp:posOffset>
                  </wp:positionV>
                  <wp:extent cx="425450" cy="440690"/>
                  <wp:effectExtent l="0" t="0" r="1270" b="127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7" cstate="print"/>
                          <a:srcRect/>
                          <a:stretch>
                            <a:fillRect/>
                          </a:stretch>
                        </pic:blipFill>
                        <pic:spPr>
                          <a:xfrm>
                            <a:off x="0" y="0"/>
                            <a:ext cx="425450" cy="440690"/>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 xml:space="preserve"> 月 </w:t>
            </w:r>
            <w:r>
              <w:rPr>
                <w:rFonts w:hint="eastAsia"/>
                <w:b/>
                <w:color w:val="000000"/>
                <w:szCs w:val="21"/>
                <w:lang w:val="en-US" w:eastAsia="zh-CN"/>
              </w:rPr>
              <w:t>15</w:t>
            </w:r>
            <w:r>
              <w:rPr>
                <w:rFonts w:hint="eastAsia"/>
                <w:b/>
                <w:color w:val="000000"/>
                <w:szCs w:val="21"/>
              </w:rPr>
              <w:t xml:space="preserve">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 xml:space="preserve"> 月 </w:t>
            </w:r>
            <w:r>
              <w:rPr>
                <w:rFonts w:hint="eastAsia"/>
                <w:b/>
                <w:color w:val="000000"/>
                <w:szCs w:val="21"/>
                <w:lang w:val="en-US" w:eastAsia="zh-CN"/>
              </w:rPr>
              <w:t>15</w:t>
            </w:r>
            <w:r>
              <w:rPr>
                <w:rFonts w:hint="eastAsia"/>
                <w:b/>
                <w:color w:val="000000"/>
                <w:szCs w:val="21"/>
              </w:rPr>
              <w:t xml:space="preserve"> 日</w:t>
            </w:r>
            <w:bookmarkStart w:id="35" w:name="_GoBack"/>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6A00490"/>
    <w:rsid w:val="50646D75"/>
    <w:rsid w:val="60587CC9"/>
    <w:rsid w:val="7B4D2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pPr>
      <w:spacing w:after="120" w:afterLines="0"/>
    </w:pPr>
    <w:rPr>
      <w:kern w:val="2"/>
      <w:sz w:val="21"/>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6"/>
    <w:semiHidden/>
    <w:qFormat/>
    <w:locked/>
    <w:uiPriority w:val="99"/>
    <w:rPr>
      <w:rFonts w:ascii="Times New Roman" w:hAnsi="Times New Roman" w:eastAsia="宋体" w:cs="Times New Roman"/>
      <w:sz w:val="18"/>
      <w:szCs w:val="18"/>
    </w:rPr>
  </w:style>
  <w:style w:type="character" w:customStyle="1" w:styleId="14">
    <w:name w:val="页脚 字符"/>
    <w:link w:val="7"/>
    <w:qFormat/>
    <w:locked/>
    <w:uiPriority w:val="99"/>
    <w:rPr>
      <w:rFonts w:ascii="Times New Roman" w:hAnsi="Times New Roman" w:eastAsia="宋体" w:cs="Times New Roman"/>
      <w:sz w:val="18"/>
      <w:szCs w:val="18"/>
    </w:rPr>
  </w:style>
  <w:style w:type="character" w:customStyle="1" w:styleId="15">
    <w:name w:val="页眉 字符"/>
    <w:link w:val="8"/>
    <w:qFormat/>
    <w:locked/>
    <w:uiPriority w:val="99"/>
    <w:rPr>
      <w:rFonts w:ascii="Calibri" w:hAnsi="Calibri" w:eastAsia="宋体" w:cs="Times New Roman"/>
      <w:sz w:val="18"/>
      <w:szCs w:val="18"/>
    </w:rPr>
  </w:style>
  <w:style w:type="character" w:customStyle="1" w:styleId="16">
    <w:name w:val="副标题 字符"/>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2</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2021-08-28T03:24:35Z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