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="方正仿宋简体" w:eastAsia="方正仿宋简体"/>
          <w:b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-438785</wp:posOffset>
            </wp:positionH>
            <wp:positionV relativeFrom="paragraph">
              <wp:posOffset>-923290</wp:posOffset>
            </wp:positionV>
            <wp:extent cx="7291070" cy="10478770"/>
            <wp:effectExtent l="0" t="0" r="11430" b="11430"/>
            <wp:wrapNone/>
            <wp:docPr id="3" name="图片 3" descr="56c4c3095d8d4b45ebb8b361e94d1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6c4c3095d8d4b45ebb8b361e94d1d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91070" cy="1047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陕西石竹能源科技有限公司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高海娟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查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/>
                <w:b/>
                <w:sz w:val="24"/>
              </w:rPr>
              <w:t>提供的《环境法律法规标准要求清单》中收录的“中华人民共和国固体废物污染环境防治法”为过期失效版本。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17" w:name="总组长"/>
            <w:r>
              <w:rPr>
                <w:rFonts w:hint="eastAsia" w:ascii="方正仿宋简体" w:eastAsia="方正仿宋简体"/>
                <w:b/>
                <w:sz w:val="24"/>
              </w:rPr>
              <w:t>李俐</w:t>
            </w:r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18" w:name="_GoBack"/>
      <w:r>
        <w:rPr>
          <w:rFonts w:hint="default" w:eastAsia="方正仿宋简体"/>
          <w:b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-890270</wp:posOffset>
            </wp:positionV>
            <wp:extent cx="7347585" cy="10478135"/>
            <wp:effectExtent l="0" t="0" r="5715" b="12065"/>
            <wp:wrapNone/>
            <wp:docPr id="5" name="图片 5" descr="b7ddfc80be8d348b4ef859730a68e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7ddfc80be8d348b4ef859730a68e7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47585" cy="10478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8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查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综合部</w:t>
            </w:r>
            <w:r>
              <w:rPr>
                <w:rFonts w:hint="eastAsia" w:ascii="宋体" w:hAnsi="宋体"/>
                <w:b/>
                <w:sz w:val="24"/>
              </w:rPr>
              <w:t>提供的《环境法律法规标准要求清单》中收录的“中华人民共和国固体废物污染环境防治法”为过期失效版本。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spacing w:line="360" w:lineRule="auto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由综合部收集最新版的《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中华人民共和国固体废物污染环境防治法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》。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ind w:firstLine="482" w:firstLineChars="200"/>
              <w:rPr>
                <w:rFonts w:eastAsia="方正仿宋简体"/>
                <w:b/>
              </w:rPr>
            </w:pP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人员对标准条款理解不够，对相关要求不熟悉，在进行法律法规识别时遗漏了“中华人民共和国固体废物污染环境防治法”。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1.组织相关人员学习GB/T24001-2016条款6.1.3内容。</w:t>
            </w:r>
          </w:p>
          <w:p>
            <w:pP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>综合部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人员更新法律法规清单，并获得该法律法规有效版本内容。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证验证，措施有效。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</w:t>
      </w: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-781685</wp:posOffset>
            </wp:positionV>
            <wp:extent cx="7004685" cy="10325735"/>
            <wp:effectExtent l="0" t="0" r="5715" b="12065"/>
            <wp:wrapNone/>
            <wp:docPr id="4" name="图片 4" descr="d65936e9b923a015fb0d8568f26c1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65936e9b923a015fb0d8568f26c1c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04685" cy="1032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63500</wp:posOffset>
            </wp:positionV>
            <wp:extent cx="6391910" cy="8782685"/>
            <wp:effectExtent l="0" t="0" r="8890" b="5715"/>
            <wp:wrapNone/>
            <wp:docPr id="2" name="图片 2" descr="5bdad9058c7f7a5cfadb42e49d92e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dad9058c7f7a5cfadb42e49d92e2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78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AC5AB4"/>
    <w:rsid w:val="19811402"/>
    <w:rsid w:val="2B846247"/>
    <w:rsid w:val="46F06A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7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LIL</cp:lastModifiedBy>
  <cp:lastPrinted>2019-05-13T03:02:00Z</cp:lastPrinted>
  <dcterms:modified xsi:type="dcterms:W3CDTF">2021-08-15T10:22:35Z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