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both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石家庄越陌软件开发有限公司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相关标准/技术规范/客户合同的要求。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我公司的QMS管理体系自体系建立以来，承诺遵守相关的法律法规、认证机构的要求，保证提供的所有材料真实有效。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1" w:name="组织名称Add1"/>
      <w:r>
        <w:rPr>
          <w:rFonts w:hint="eastAsia"/>
          <w:b/>
          <w:sz w:val="36"/>
          <w:szCs w:val="36"/>
        </w:rPr>
        <w:t>石家庄越陌软件开发有限公司</w:t>
      </w:r>
      <w:bookmarkEnd w:id="1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12</w:t>
      </w:r>
      <w:bookmarkStart w:id="2" w:name="_GoBack"/>
      <w:bookmarkEnd w:id="2"/>
      <w:r>
        <w:rPr>
          <w:rFonts w:hint="eastAsia"/>
          <w:b/>
          <w:sz w:val="36"/>
          <w:szCs w:val="36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B17A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5</TotalTime>
  <ScaleCrop>false</ScaleCrop>
  <LinksUpToDate>false</LinksUpToDate>
  <CharactersWithSpaces>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2021-08-11T03:28:02Z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2052-11.1.0.10700</vt:lpwstr>
  </property>
</Properties>
</file>