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>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53"/>
        <w:gridCol w:w="117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4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河北钢铁集团矿业有限公司石人沟铁矿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5" w:name="专业代码"/>
            <w:r>
              <w:rPr>
                <w:b/>
                <w:sz w:val="20"/>
              </w:rPr>
              <w:t>2.</w:t>
            </w:r>
            <w:bookmarkEnd w:id="5"/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ind w:firstLine="602" w:firstLineChars="3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微信、现场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40" w:lineRule="auto"/>
              <w:rPr>
                <w:rFonts w:hint="default" w:ascii="黑体" w:hAnsi="黑体" w:eastAsia="黑体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snapToGrid w:val="0"/>
              <w:spacing w:line="240" w:lineRule="auto"/>
              <w:rPr>
                <w:rFonts w:hint="default" w:ascii="黑体" w:hAnsi="黑体" w:eastAsia="黑体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drawing>
                <wp:inline distT="0" distB="0" distL="114300" distR="114300">
                  <wp:extent cx="5207635" cy="1129665"/>
                  <wp:effectExtent l="0" t="0" r="12065" b="635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635" cy="112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耗能设备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采矿：提升机、空压机、铲运机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选矿：破碎机、球磨机、磁选机、锅炉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耗能种类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电力、柴油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）《固定资产投资项目节能审查办法》（国家发展和改革委员会令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2016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年第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44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>）《</w:t>
            </w:r>
            <w:r>
              <w:rPr>
                <w:rFonts w:hint="default"/>
                <w:b/>
                <w:sz w:val="20"/>
                <w:lang w:val="en-US" w:eastAsia="zh-CN"/>
              </w:rPr>
              <w:t>“</w:t>
            </w:r>
            <w:r>
              <w:rPr>
                <w:rFonts w:hint="eastAsia"/>
                <w:b/>
                <w:sz w:val="20"/>
                <w:lang w:val="en-US" w:eastAsia="zh-CN"/>
              </w:rPr>
              <w:t>十三五</w:t>
            </w:r>
            <w:r>
              <w:rPr>
                <w:rFonts w:hint="default"/>
                <w:b/>
                <w:sz w:val="20"/>
                <w:lang w:val="en-US" w:eastAsia="zh-CN"/>
              </w:rPr>
              <w:t>”</w:t>
            </w:r>
            <w:r>
              <w:rPr>
                <w:rFonts w:hint="eastAsia"/>
                <w:b/>
                <w:sz w:val="20"/>
                <w:lang w:val="en-US" w:eastAsia="zh-CN"/>
              </w:rPr>
              <w:t>节能减排综合工作方案的通知》（国发〔</w:t>
            </w:r>
            <w:r>
              <w:rPr>
                <w:rFonts w:hint="default"/>
                <w:b/>
                <w:sz w:val="20"/>
                <w:lang w:val="en-US" w:eastAsia="zh-CN"/>
              </w:rPr>
              <w:t>2016</w:t>
            </w:r>
            <w:r>
              <w:rPr>
                <w:rFonts w:hint="eastAsia"/>
                <w:b/>
                <w:sz w:val="20"/>
                <w:lang w:val="en-US" w:eastAsia="zh-CN"/>
              </w:rPr>
              <w:t>〕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74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lang w:val="en-US" w:eastAsia="zh-CN"/>
              </w:rPr>
              <w:t>）《中华人民共和国节约能源法》（国家主席令〔</w:t>
            </w:r>
            <w:r>
              <w:rPr>
                <w:rFonts w:hint="default"/>
                <w:b/>
                <w:sz w:val="20"/>
                <w:lang w:val="en-US" w:eastAsia="zh-CN"/>
              </w:rPr>
              <w:t>2007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〕第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77 </w:t>
            </w:r>
            <w:r>
              <w:rPr>
                <w:rFonts w:hint="eastAsia"/>
                <w:b/>
                <w:sz w:val="20"/>
                <w:lang w:val="en-US" w:eastAsia="zh-CN"/>
              </w:rPr>
              <w:t>号，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2018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年修正）；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lang w:val="en-US" w:eastAsia="zh-CN"/>
              </w:rPr>
              <w:t>）《高耗能落后机电设备（产品）淘汰目录》（第一～第四 批）；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  <w:lang w:val="en-US" w:eastAsia="zh-CN"/>
              </w:rPr>
              <w:t>）《产业结构调整指导目录（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2019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年本）》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  <w:lang w:val="en-US" w:eastAsia="zh-CN"/>
              </w:rPr>
              <w:t>）《节能机电产品（设备）推荐目录》（第一批～第四批） （工信部）；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（7）《中华人民共和国能源节约法》第十三届全国人民代表大会常务委员会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2018.10.26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相关标准和规范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）《用能单位能源计量器具配备和管理通则》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 17167-2006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>）《电动机能效限定值及能效等级》</w:t>
            </w:r>
            <w:r>
              <w:rPr>
                <w:rFonts w:hint="default"/>
                <w:b/>
                <w:sz w:val="20"/>
                <w:lang w:val="en-US" w:eastAsia="zh-CN"/>
              </w:rPr>
              <w:t>GB 18613-2020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（3）容积式空气压缩机能效限定值及能效等级》</w:t>
            </w:r>
            <w:r>
              <w:rPr>
                <w:rFonts w:hint="default"/>
                <w:b/>
                <w:sz w:val="20"/>
                <w:lang w:val="en-US" w:eastAsia="zh-CN"/>
              </w:rPr>
              <w:t>GB19153-2019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（4）《电力变压器能效限定值及能效等级》</w:t>
            </w:r>
            <w:r>
              <w:rPr>
                <w:rFonts w:hint="default"/>
                <w:b/>
                <w:sz w:val="20"/>
                <w:lang w:val="en-US" w:eastAsia="zh-CN"/>
              </w:rPr>
              <w:t>GB 20052-2020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（5）《工业企业总平面设计规范》</w:t>
            </w:r>
            <w:r>
              <w:rPr>
                <w:rFonts w:hint="default"/>
                <w:b/>
                <w:sz w:val="20"/>
                <w:lang w:val="en-US" w:eastAsia="zh-CN"/>
              </w:rPr>
              <w:t>GB 50187-2012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（6）《综合能耗计算通则》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2589-2020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（7）《企业能量平衡通则》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3484-2009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（8）《评价企业合理用电技术导则》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3485-1998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（9）《用能设备能量测试导则》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6422-2009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（10）《节电技术经济效益计算与评价方法》</w:t>
            </w:r>
            <w:r>
              <w:rPr>
                <w:rFonts w:hint="default"/>
                <w:b/>
                <w:sz w:val="20"/>
                <w:lang w:val="en-US" w:eastAsia="zh-CN"/>
              </w:rPr>
              <w:t>GB/T 13471-2008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（11）《节能监测技术通则》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15316-2009</w:t>
            </w:r>
            <w:r>
              <w:rPr>
                <w:rFonts w:hint="eastAsia"/>
                <w:b/>
                <w:sz w:val="2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（12）《铁矿地下开采单位产品能源消耗限额》</w:t>
            </w:r>
            <w:r>
              <w:rPr>
                <w:rFonts w:hint="default"/>
                <w:b/>
                <w:sz w:val="20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lang w:val="en-US" w:eastAsia="zh-CN"/>
              </w:rPr>
              <w:t>31336-2014；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（13）《铁矿选矿单位产品能源消耗限额》</w:t>
            </w:r>
            <w:r>
              <w:rPr>
                <w:rFonts w:hint="default"/>
                <w:b/>
                <w:sz w:val="20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lang w:val="en-US" w:eastAsia="zh-CN"/>
              </w:rPr>
              <w:t>313376-2014；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（14）河北省主要工序能耗限额；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1442720</wp:posOffset>
            </wp:positionH>
            <wp:positionV relativeFrom="page">
              <wp:posOffset>8181975</wp:posOffset>
            </wp:positionV>
            <wp:extent cx="480695" cy="427990"/>
            <wp:effectExtent l="0" t="0" r="1905" b="3810"/>
            <wp:wrapSquare wrapText="bothSides"/>
            <wp:docPr id="8" name="图片 3" descr="15539996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1553999692(1)"/>
                    <pic:cNvPicPr>
                      <a:picLocks noChangeAspect="1"/>
                    </pic:cNvPicPr>
                  </pic:nvPicPr>
                  <pic:blipFill>
                    <a:blip r:embed="rId6">
                      <a:lum bright="35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9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4519930</wp:posOffset>
            </wp:positionH>
            <wp:positionV relativeFrom="page">
              <wp:posOffset>8260080</wp:posOffset>
            </wp:positionV>
            <wp:extent cx="570230" cy="435610"/>
            <wp:effectExtent l="0" t="0" r="1270" b="8890"/>
            <wp:wrapSquare wrapText="bothSides"/>
            <wp:docPr id="3" name="图片 3" descr="15539996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3999692(1)"/>
                    <pic:cNvPicPr>
                      <a:picLocks noChangeAspect="1"/>
                    </pic:cNvPicPr>
                  </pic:nvPicPr>
                  <pic:blipFill>
                    <a:blip r:embed="rId6">
                      <a:lum bright="35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2021.8.6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2021.8.6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3B463BF"/>
    <w:rsid w:val="2DDE6C5F"/>
    <w:rsid w:val="37905965"/>
    <w:rsid w:val="461E6EE5"/>
    <w:rsid w:val="4B1A6B03"/>
    <w:rsid w:val="4F86712C"/>
    <w:rsid w:val="50267FB0"/>
    <w:rsid w:val="6189056C"/>
    <w:rsid w:val="620A7863"/>
    <w:rsid w:val="653D7952"/>
    <w:rsid w:val="71E244EE"/>
    <w:rsid w:val="7CF547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2021-08-08T06:50:18Z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C06B15D0DFD04B108B087EF8BBB288FB</vt:lpwstr>
  </property>
</Properties>
</file>