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hint="eastAsia"/>
          <w:b/>
          <w:sz w:val="22"/>
          <w:szCs w:val="22"/>
        </w:rPr>
      </w:pPr>
      <w:bookmarkStart w:id="0" w:name="Q勾选"/>
      <w:r>
        <w:rPr>
          <w:rFonts w:hint="eastAsia"/>
          <w:b/>
          <w:sz w:val="22"/>
          <w:szCs w:val="22"/>
          <w:lang w:eastAsia="zh-CN"/>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r>
        <w:rPr>
          <w:rFonts w:hint="eastAsia"/>
          <w:b/>
          <w:sz w:val="22"/>
          <w:szCs w:val="22"/>
          <w:lang w:val="en-US" w:eastAsia="zh-CN"/>
        </w:rPr>
        <w:t>En</w:t>
      </w:r>
      <w:r>
        <w:rPr>
          <w:rFonts w:hint="eastAsia"/>
          <w:b/>
          <w:sz w:val="22"/>
          <w:szCs w:val="22"/>
        </w:rPr>
        <w:t>MS</w:t>
      </w:r>
      <w:r>
        <w:rPr>
          <w:rFonts w:hint="eastAsia"/>
          <w:b/>
          <w:sz w:val="22"/>
          <w:szCs w:val="22"/>
          <w:lang w:val="en-US" w:eastAsia="zh-CN"/>
        </w:rPr>
        <w:t xml:space="preserve"> </w:t>
      </w:r>
      <w:bookmarkStart w:id="5" w:name="F勾选"/>
      <w:r>
        <w:rPr>
          <w:rFonts w:hint="eastAsia"/>
          <w:b/>
          <w:sz w:val="22"/>
          <w:szCs w:val="22"/>
          <w:lang w:eastAsia="zh-CN"/>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rPr>
          <w:rFonts w:hint="eastAsia"/>
          <w:b/>
          <w:sz w:val="22"/>
          <w:szCs w:val="22"/>
        </w:rPr>
      </w:pP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5"/>
        <w:gridCol w:w="615"/>
        <w:gridCol w:w="2175"/>
        <w:gridCol w:w="195"/>
        <w:gridCol w:w="330"/>
        <w:gridCol w:w="1195"/>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受审核方名称</w:t>
            </w:r>
          </w:p>
        </w:tc>
        <w:tc>
          <w:tcPr>
            <w:tcW w:w="3150" w:type="dxa"/>
            <w:gridSpan w:val="4"/>
            <w:tcBorders>
              <w:top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bookmarkStart w:id="7" w:name="组织名称"/>
            <w:r>
              <w:rPr>
                <w:rFonts w:hint="eastAsia" w:ascii="Times New Roman" w:hAnsi="Times New Roman" w:eastAsia="宋体" w:cs="Times New Roman"/>
                <w:b/>
                <w:sz w:val="22"/>
                <w:szCs w:val="22"/>
                <w:lang w:val="en-US" w:eastAsia="zh-CN"/>
              </w:rPr>
              <w:t>北京中泽世通物业管理有限公司</w:t>
            </w:r>
            <w:bookmarkEnd w:id="7"/>
          </w:p>
        </w:tc>
        <w:tc>
          <w:tcPr>
            <w:tcW w:w="2175" w:type="dxa"/>
            <w:tcBorders>
              <w:top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专业小类/</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项目代码</w:t>
            </w:r>
          </w:p>
        </w:tc>
        <w:tc>
          <w:tcPr>
            <w:tcW w:w="3099" w:type="dxa"/>
            <w:gridSpan w:val="4"/>
            <w:tcBorders>
              <w:top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bookmarkStart w:id="8" w:name="专业代码"/>
            <w:r>
              <w:rPr>
                <w:rFonts w:hint="eastAsia" w:ascii="Times New Roman" w:hAnsi="Times New Roman" w:eastAsia="宋体" w:cs="Times New Roman"/>
                <w:b/>
                <w:sz w:val="22"/>
                <w:szCs w:val="22"/>
                <w:lang w:val="en-US" w:eastAsia="zh-CN"/>
              </w:rPr>
              <w:t>Q：35.15.00;35.16.01;35.17.00</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E：35.15.00;35.16.01;35.17.00</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O：35.15.00;35.16.01;35.17.00</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教师姓名</w:t>
            </w:r>
          </w:p>
        </w:tc>
        <w:tc>
          <w:tcPr>
            <w:tcW w:w="1025" w:type="dxa"/>
            <w:vAlign w:val="center"/>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李京田</w:t>
            </w:r>
          </w:p>
        </w:tc>
        <w:tc>
          <w:tcPr>
            <w:tcW w:w="150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专业</w:t>
            </w:r>
          </w:p>
        </w:tc>
        <w:tc>
          <w:tcPr>
            <w:tcW w:w="3320" w:type="dxa"/>
            <w:gridSpan w:val="5"/>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Q：35.15.00;35.16.01;35.17.00</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E：35.15.00;35.16.01;35.17.00</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O：35.15.00;35.16.01;35.17.00</w:t>
            </w:r>
          </w:p>
        </w:tc>
        <w:tc>
          <w:tcPr>
            <w:tcW w:w="119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培训地点</w:t>
            </w:r>
          </w:p>
        </w:tc>
        <w:tc>
          <w:tcPr>
            <w:tcW w:w="1379" w:type="dxa"/>
            <w:vAlign w:val="center"/>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受培训人员</w:t>
            </w:r>
          </w:p>
        </w:tc>
        <w:tc>
          <w:tcPr>
            <w:tcW w:w="1340"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姓名</w:t>
            </w:r>
          </w:p>
        </w:tc>
        <w:tc>
          <w:tcPr>
            <w:tcW w:w="102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朱晓丽</w:t>
            </w:r>
          </w:p>
        </w:tc>
        <w:tc>
          <w:tcPr>
            <w:tcW w:w="150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w:t>
            </w:r>
          </w:p>
        </w:tc>
        <w:tc>
          <w:tcPr>
            <w:tcW w:w="4515" w:type="dxa"/>
            <w:gridSpan w:val="6"/>
            <w:vAlign w:val="center"/>
          </w:tcPr>
          <w:p>
            <w:pPr>
              <w:snapToGrid w:val="0"/>
              <w:spacing w:after="0" w:line="276" w:lineRule="auto"/>
              <w:jc w:val="left"/>
              <w:rPr>
                <w:rFonts w:hint="eastAsia" w:ascii="Times New Roman" w:hAnsi="Times New Roman" w:eastAsia="宋体" w:cs="Times New Roman"/>
                <w:b/>
                <w:sz w:val="22"/>
                <w:szCs w:val="22"/>
                <w:lang w:val="en-US" w:eastAsia="zh-CN"/>
              </w:rPr>
            </w:pPr>
          </w:p>
        </w:tc>
        <w:tc>
          <w:tcPr>
            <w:tcW w:w="1379"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生产工艺/</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服务过程</w:t>
            </w:r>
          </w:p>
        </w:tc>
        <w:tc>
          <w:tcPr>
            <w:tcW w:w="8424" w:type="dxa"/>
            <w:gridSpan w:val="9"/>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清洁服务实现过程：</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签合同→保洁方案→准备工料→人员进场→日常清洁</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日常清洁工作流程：</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确定服务质量标准——工作准备——擦拭——推尘——拖洗——巡查——维护。</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园林绿化服务：客户洽谈→合同签订→材料采购→进场报验→项目施工→过程检验→竣工验收→后期服务。</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客户开发---项目评估---合同签订---进驻项目现场---物业管理（保安服务、保洁服务、电梯服务等）-----服务检查---客户满意调查---回访</w:t>
            </w:r>
          </w:p>
          <w:p>
            <w:pPr>
              <w:snapToGrid w:val="0"/>
              <w:spacing w:after="0" w:line="276" w:lineRule="auto"/>
              <w:jc w:val="left"/>
              <w:rPr>
                <w:rFonts w:hint="eastAsia" w:ascii="Times New Roman" w:hAnsi="Times New Roman" w:eastAsia="宋体" w:cs="Times New Roman"/>
                <w:b/>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生产过程/服务过程</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的风险及控制措施</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特殊过程的控制/</w:t>
            </w:r>
          </w:p>
          <w:p>
            <w:pPr>
              <w:snapToGrid w:val="0"/>
              <w:spacing w:after="0" w:line="276" w:lineRule="auto"/>
              <w:jc w:val="left"/>
              <w:rPr>
                <w:rFonts w:hint="eastAsia" w:ascii="Times New Roman" w:hAnsi="Times New Roman" w:eastAsia="宋体" w:cs="Times New Roman"/>
                <w:b/>
                <w:sz w:val="22"/>
                <w:szCs w:val="22"/>
                <w:lang w:val="en-US" w:eastAsia="zh-CN"/>
              </w:rPr>
            </w:pPr>
          </w:p>
        </w:tc>
        <w:tc>
          <w:tcPr>
            <w:tcW w:w="8424" w:type="dxa"/>
            <w:gridSpan w:val="9"/>
            <w:vAlign w:val="center"/>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关键过程为：清洁服务 园林绿化服务过程 物业管理</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特殊过程为：清洁服务 园林绿化服务过程 物业管理</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服务主要质量指标：服务周到、满足顾客需要</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 xml:space="preserve">熟悉清洁服务标准及工作流程等。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bookmarkStart w:id="9" w:name="_GoBack" w:colFirst="0" w:colLast="5"/>
            <w:r>
              <w:rPr>
                <w:rFonts w:hint="eastAsia" w:ascii="Times New Roman" w:hAnsi="Times New Roman" w:eastAsia="宋体" w:cs="Times New Roman"/>
                <w:b/>
                <w:sz w:val="22"/>
                <w:szCs w:val="22"/>
                <w:lang w:val="en-US" w:eastAsia="zh-CN"/>
              </w:rPr>
              <w:t>重要环境及控制措施</w:t>
            </w:r>
          </w:p>
        </w:tc>
        <w:tc>
          <w:tcPr>
            <w:tcW w:w="8424" w:type="dxa"/>
            <w:gridSpan w:val="9"/>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编制了《环境因素的识别与评价控制程序》符合标准要求.</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提供的“环境因素识别评价表”“重要环境因素清单”， 评价考虑了三种时态现在、过去、将来、三种状态、异常、正常、紧急考虑了法律法规，并进行了评价，针对洗涤服务过程，用打分法考虑了法规符合性、发生频次、影响范围等, 通过定性判断法，共识别出重大环境因素5项:废水、废气、固废排放、火灾、噪声、评价符合程序要求及公司的实际情况。</w:t>
            </w:r>
          </w:p>
        </w:tc>
      </w:tr>
      <w:bookmarkEnd w:id="9"/>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不可接受风险的危险源及控制措施</w:t>
            </w:r>
          </w:p>
        </w:tc>
        <w:tc>
          <w:tcPr>
            <w:tcW w:w="8424" w:type="dxa"/>
            <w:gridSpan w:val="9"/>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通过是非法，共识别出不可接受风险3项，涉及：火灾、触电、机械伤害。评价符合程序要求及公司的实际情况。对危险源的控制措施包括制定管理制度、监督检查、应急预案、培训等。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重要的食品安全危害/关键控制点及控制措施</w:t>
            </w:r>
          </w:p>
        </w:tc>
        <w:tc>
          <w:tcPr>
            <w:tcW w:w="8424" w:type="dxa"/>
            <w:gridSpan w:val="9"/>
            <w:vAlign w:val="center"/>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主要能源使用和主要能源参数等；</w:t>
            </w:r>
          </w:p>
        </w:tc>
        <w:tc>
          <w:tcPr>
            <w:tcW w:w="8424" w:type="dxa"/>
            <w:gridSpan w:val="9"/>
            <w:vAlign w:val="center"/>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相关法律法规的要求及产品标准</w:t>
            </w:r>
          </w:p>
        </w:tc>
        <w:tc>
          <w:tcPr>
            <w:tcW w:w="8424" w:type="dxa"/>
            <w:gridSpan w:val="9"/>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清洁服务.质量度量系统的基本要求和推荐方法 EN 13549-2001</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清洁行业经营服务规范SB/T 10595-2011</w:t>
            </w:r>
          </w:p>
          <w:p>
            <w:pPr>
              <w:snapToGrid w:val="0"/>
              <w:spacing w:after="0" w:line="276" w:lineRule="auto"/>
              <w:jc w:val="left"/>
              <w:rPr>
                <w:rFonts w:hint="eastAsia" w:ascii="Times New Roman" w:hAnsi="Times New Roman" w:eastAsia="宋体" w:cs="Times New Roman"/>
                <w:b/>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检验和试验项目及要求(如有型式试验要求,要进行说明)</w:t>
            </w:r>
          </w:p>
        </w:tc>
        <w:tc>
          <w:tcPr>
            <w:tcW w:w="8424" w:type="dxa"/>
            <w:gridSpan w:val="9"/>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其它相关知识</w:t>
            </w:r>
          </w:p>
        </w:tc>
        <w:tc>
          <w:tcPr>
            <w:tcW w:w="8424" w:type="dxa"/>
            <w:gridSpan w:val="9"/>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填表人</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(专业人员)</w:t>
            </w:r>
          </w:p>
        </w:tc>
        <w:tc>
          <w:tcPr>
            <w:tcW w:w="2535" w:type="dxa"/>
            <w:gridSpan w:val="3"/>
            <w:vAlign w:val="center"/>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李京田</w:t>
            </w:r>
          </w:p>
        </w:tc>
        <w:tc>
          <w:tcPr>
            <w:tcW w:w="2985" w:type="dxa"/>
            <w:gridSpan w:val="3"/>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日 期</w:t>
            </w:r>
          </w:p>
        </w:tc>
        <w:tc>
          <w:tcPr>
            <w:tcW w:w="2904" w:type="dxa"/>
            <w:gridSpan w:val="3"/>
            <w:vAlign w:val="center"/>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2021.8.9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审核组长</w:t>
            </w:r>
          </w:p>
        </w:tc>
        <w:tc>
          <w:tcPr>
            <w:tcW w:w="2535" w:type="dxa"/>
            <w:gridSpan w:val="3"/>
            <w:tcBorders>
              <w:bottom w:val="single" w:color="auto" w:sz="8" w:space="0"/>
            </w:tcBorders>
            <w:vAlign w:val="center"/>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李京田</w:t>
            </w:r>
          </w:p>
        </w:tc>
        <w:tc>
          <w:tcPr>
            <w:tcW w:w="2985" w:type="dxa"/>
            <w:gridSpan w:val="3"/>
            <w:tcBorders>
              <w:bottom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日 期</w:t>
            </w:r>
          </w:p>
        </w:tc>
        <w:tc>
          <w:tcPr>
            <w:tcW w:w="2904" w:type="dxa"/>
            <w:gridSpan w:val="3"/>
            <w:tcBorders>
              <w:bottom w:val="single" w:color="auto" w:sz="8" w:space="0"/>
            </w:tcBorders>
            <w:vAlign w:val="center"/>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2021.8.9</w:t>
            </w:r>
          </w:p>
        </w:tc>
      </w:tr>
    </w:tbl>
    <w:p>
      <w:pPr>
        <w:snapToGrid w:val="0"/>
        <w:rPr>
          <w:rFonts w:ascii="宋体"/>
          <w:b/>
          <w:sz w:val="22"/>
          <w:szCs w:val="22"/>
        </w:rPr>
      </w:pPr>
    </w:p>
    <w:p>
      <w:pPr>
        <w:snapToGrid w:val="0"/>
        <w:rPr>
          <w:rFonts w:hint="default" w:ascii="宋体" w:eastAsia="宋体"/>
          <w:b/>
          <w:spacing w:val="-6"/>
          <w:sz w:val="21"/>
          <w:szCs w:val="21"/>
          <w:lang w:val="en-US" w:eastAsia="zh-CN"/>
        </w:rPr>
      </w:pPr>
      <w:r>
        <w:rPr>
          <w:rFonts w:hint="eastAsia" w:ascii="宋体" w:hAnsi="Times New Roman" w:eastAsia="宋体" w:cs="Times New Roman"/>
          <w:b/>
          <w:spacing w:val="-6"/>
          <w:sz w:val="21"/>
          <w:szCs w:val="21"/>
        </w:rPr>
        <w:t>注：</w:t>
      </w:r>
      <w:r>
        <w:rPr>
          <w:rFonts w:hint="eastAsia" w:ascii="宋体"/>
          <w:b/>
          <w:spacing w:val="-6"/>
          <w:sz w:val="21"/>
          <w:szCs w:val="21"/>
        </w:rPr>
        <w:t>如有其他培训内容或空格不够可另加附页</w:t>
      </w:r>
    </w:p>
    <w:sectPr>
      <w:headerReference r:id="rId5" w:type="default"/>
      <w:pgSz w:w="11906" w:h="16838"/>
      <w:pgMar w:top="1134" w:right="1077" w:bottom="1134" w:left="1077" w:header="561" w:footer="482"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79.65pt;margin-top:2.8pt;height:20.2pt;width:111.8pt;z-index:251659264;mso-width-relative:page;mso-height-relative:page;" fillcolor="#FFFFFF" filled="t" stroked="f" coordsize="21600,21600">
          <v:path/>
          <v:fill on="t" color2="#FFFFFF"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05</w:t>
                </w:r>
                <w:r>
                  <w:rPr>
                    <w:rFonts w:hint="eastAsia"/>
                    <w:sz w:val="18"/>
                    <w:szCs w:val="18"/>
                  </w:rPr>
                  <w:t>(0</w:t>
                </w:r>
                <w:r>
                  <w:rPr>
                    <w:rFonts w:hint="eastAsia"/>
                    <w:sz w:val="18"/>
                    <w:szCs w:val="18"/>
                    <w:lang w:val="en-US" w:eastAsia="zh-CN"/>
                  </w:rPr>
                  <w:t>5</w:t>
                </w:r>
                <w:r>
                  <w:rPr>
                    <w:rFonts w:hint="eastAsia"/>
                    <w:sz w:val="18"/>
                    <w:szCs w:val="18"/>
                  </w:rPr>
                  <w:t>版)</w:t>
                </w:r>
              </w:p>
            </w:txbxContent>
          </v:textbox>
        </v:shape>
      </w:pict>
    </w:r>
    <w:r>
      <w:rPr>
        <w:rStyle w:val="12"/>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1C65EE"/>
    <w:rsid w:val="38C12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脚 Char"/>
    <w:link w:val="4"/>
    <w:qFormat/>
    <w:locked/>
    <w:uiPriority w:val="99"/>
    <w:rPr>
      <w:rFonts w:ascii="Times New Roman" w:hAnsi="Times New Roman" w:eastAsia="宋体" w:cs="Times New Roman"/>
      <w:sz w:val="18"/>
      <w:szCs w:val="18"/>
    </w:rPr>
  </w:style>
  <w:style w:type="character" w:customStyle="1" w:styleId="10">
    <w:name w:val="页眉 Char"/>
    <w:link w:val="5"/>
    <w:qFormat/>
    <w:locked/>
    <w:uiPriority w:val="99"/>
    <w:rPr>
      <w:rFonts w:ascii="Times New Roman" w:hAnsi="Times New Roman" w:eastAsia="宋体" w:cs="Times New Roman"/>
      <w:sz w:val="18"/>
      <w:szCs w:val="18"/>
    </w:rPr>
  </w:style>
  <w:style w:type="character" w:customStyle="1" w:styleId="11">
    <w:name w:val="批注框文本 Char"/>
    <w:link w:val="3"/>
    <w:semiHidden/>
    <w:qFormat/>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44</Words>
  <Characters>253</Characters>
  <Lines>2</Lines>
  <Paragraphs>1</Paragraphs>
  <TotalTime>2</TotalTime>
  <ScaleCrop>false</ScaleCrop>
  <LinksUpToDate>false</LinksUpToDate>
  <CharactersWithSpaces>296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2021-08-09T01:35:53Z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2052-11.1.0.10700</vt:lpwstr>
  </property>
</Properties>
</file>