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bookmarkStart w:id="0" w:name="合同编号"/>
      <w:r>
        <w:rPr>
          <w:rFonts w:hint="eastAsia"/>
          <w:b/>
          <w:lang w:val="en-US" w:eastAsia="zh-CN"/>
        </w:rPr>
        <w:t>0083-2020-E-2021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重庆邦瑞新材料有限公司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29.11.03</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b/>
                <w:color w:val="auto"/>
                <w:sz w:val="21"/>
              </w:rPr>
              <w:t>重庆邦瑞新材料有限公司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重庆市北部新区高新园民安大道465号附26号</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401120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生产地址"/>
            <w:r>
              <w:rPr>
                <w:rFonts w:ascii="宋体"/>
                <w:b/>
                <w:sz w:val="21"/>
              </w:rPr>
              <w:t>重庆市北部新区高新园民安大道465号附26号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401120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重庆市北部新区高新园民安大道465号附26号</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401120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李瑞婷</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17384093150</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杨震峰</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杨震峰</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刘成平</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2021年08月06日 上午至2021年08月06日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bookmarkStart w:id="28" w:name="审核范围"/>
            <w:r>
              <w:rPr>
                <w:rFonts w:hint="eastAsia" w:ascii="宋体" w:hAnsi="宋体"/>
                <w:b/>
                <w:bCs/>
                <w:sz w:val="21"/>
                <w:szCs w:val="21"/>
              </w:rPr>
              <w:t>增强型改性发泡水泥保温板的销售所涉及的相关环境管理活动</w:t>
            </w:r>
            <w:bookmarkEnd w:id="28"/>
            <w:r>
              <w:rPr>
                <w:rFonts w:hint="eastAsia" w:ascii="宋体" w:hAnsi="宋体"/>
              </w:rPr>
              <w:t xml:space="preserve"> </w:t>
            </w:r>
            <w:r>
              <w:rPr>
                <w:rFonts w:hint="eastAsia" w:ascii="宋体" w:hAnsi="宋体"/>
                <w:lang w:eastAsia="zh-CN"/>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29.11.03</w:t>
            </w:r>
            <w:bookmarkEnd w:id="30"/>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ascii="宋体" w:hAnsi="宋体"/>
                <w:b/>
                <w:sz w:val="21"/>
                <w:szCs w:val="21"/>
                <w:highlight w:val="none"/>
              </w:rPr>
            </w:pPr>
            <w:r>
              <w:rPr>
                <w:rFonts w:hint="eastAsia"/>
                <w:b/>
                <w:sz w:val="20"/>
                <w:highlight w:val="none"/>
              </w:rPr>
              <w:t>202</w:t>
            </w:r>
            <w:r>
              <w:rPr>
                <w:rFonts w:hint="eastAsia"/>
                <w:b/>
                <w:sz w:val="20"/>
                <w:highlight w:val="none"/>
                <w:lang w:val="en-US" w:eastAsia="zh-CN"/>
              </w:rPr>
              <w:t>3</w:t>
            </w:r>
            <w:r>
              <w:rPr>
                <w:rFonts w:hint="eastAsia"/>
                <w:b/>
                <w:sz w:val="20"/>
                <w:highlight w:val="none"/>
              </w:rPr>
              <w:t>年04月</w:t>
            </w:r>
            <w:r>
              <w:rPr>
                <w:rFonts w:hint="eastAsia"/>
                <w:b/>
                <w:sz w:val="20"/>
                <w:highlight w:val="none"/>
                <w:lang w:val="en-US" w:eastAsia="zh-CN"/>
              </w:rPr>
              <w:t>12</w:t>
            </w:r>
            <w:r>
              <w:rPr>
                <w:rFonts w:hint="eastAsia"/>
                <w:b/>
                <w:sz w:val="20"/>
                <w:highlight w:val="none"/>
              </w:rPr>
              <w:t>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2020年04月03日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sz w:val="21"/>
          <w:szCs w:val="21"/>
        </w:rPr>
        <w:t xml:space="preserve">增强型改性发泡水泥保温板的销售所涉及的相关环境管理活动 </w:t>
      </w:r>
      <w:r>
        <w:rPr>
          <w:rFonts w:hint="eastAsia" w:ascii="宋体" w:hAnsi="宋体"/>
          <w:b/>
          <w:sz w:val="21"/>
          <w:szCs w:val="21"/>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b/>
          <w:sz w:val="20"/>
        </w:rPr>
        <w:t>2020年04月03日</w:t>
      </w:r>
      <w:r>
        <w:rPr>
          <w:rFonts w:hint="eastAsia" w:ascii="宋体" w:hAnsi="宋体"/>
          <w:b/>
          <w:sz w:val="21"/>
          <w:szCs w:val="21"/>
        </w:rPr>
        <w:t>至</w:t>
      </w:r>
      <w:r>
        <w:rPr>
          <w:rFonts w:hint="eastAsia"/>
          <w:b/>
          <w:sz w:val="20"/>
        </w:rPr>
        <w:t>202</w:t>
      </w:r>
      <w:r>
        <w:rPr>
          <w:rFonts w:hint="eastAsia"/>
          <w:b/>
          <w:sz w:val="20"/>
          <w:lang w:val="en-US" w:eastAsia="zh-CN"/>
        </w:rPr>
        <w:t>1</w:t>
      </w:r>
      <w:r>
        <w:rPr>
          <w:rFonts w:hint="eastAsia"/>
          <w:b/>
          <w:sz w:val="20"/>
        </w:rPr>
        <w:t>年0</w:t>
      </w:r>
      <w:r>
        <w:rPr>
          <w:rFonts w:hint="eastAsia"/>
          <w:b/>
          <w:sz w:val="20"/>
          <w:lang w:val="en-US" w:eastAsia="zh-CN"/>
        </w:rPr>
        <w:t>8</w:t>
      </w:r>
      <w:r>
        <w:rPr>
          <w:rFonts w:hint="eastAsia"/>
          <w:b/>
          <w:sz w:val="20"/>
        </w:rPr>
        <w:t>月0</w:t>
      </w:r>
      <w:r>
        <w:rPr>
          <w:rFonts w:hint="eastAsia"/>
          <w:b/>
          <w:sz w:val="20"/>
          <w:lang w:val="en-US" w:eastAsia="zh-CN"/>
        </w:rPr>
        <w:t>6</w:t>
      </w:r>
      <w:r>
        <w:rPr>
          <w:rFonts w:hint="eastAsia"/>
          <w:b/>
          <w:sz w:val="20"/>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市场监管局、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w:t>
            </w:r>
            <w:r>
              <w:rPr>
                <w:rFonts w:hint="eastAsia"/>
                <w:b/>
                <w:color w:val="000000" w:themeColor="text1"/>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jc w:val="lef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1"/>
              </w:rPr>
              <w:t>“</w:t>
            </w:r>
            <w:r>
              <w:rPr>
                <w:rFonts w:hint="eastAsia" w:ascii="宋体" w:hAnsi="宋体" w:cs="宋体"/>
                <w:bCs/>
                <w:kern w:val="0"/>
                <w:szCs w:val="21"/>
              </w:rPr>
              <w:t>防治污染、节能低耗、守法经营、持续发展</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600" w:firstLineChars="250"/>
              <w:rPr>
                <w:rFonts w:hint="eastAsia" w:ascii="宋体" w:hAnsi="宋体" w:eastAsia="宋体"/>
                <w:b/>
                <w:color w:val="000000" w:themeColor="text1"/>
                <w:lang w:eastAsia="zh-CN"/>
              </w:rPr>
            </w:pPr>
            <w:r>
              <w:rPr>
                <w:rFonts w:hint="eastAsia"/>
                <w:color w:val="000000"/>
                <w:szCs w:val="21"/>
              </w:rPr>
              <w:t>环境目标考核情况：1）</w:t>
            </w:r>
            <w:r>
              <w:rPr>
                <w:rFonts w:hint="eastAsia" w:ascii="宋体" w:hAnsi="宋体"/>
                <w:color w:val="000000"/>
                <w:szCs w:val="21"/>
              </w:rPr>
              <w:t>固废、危险有害废弃物质合规处理率100%</w:t>
            </w:r>
            <w:r>
              <w:rPr>
                <w:rFonts w:hint="eastAsia" w:ascii="宋体" w:hAnsi="宋体" w:cs="宋体"/>
                <w:color w:val="000000"/>
                <w:kern w:val="0"/>
                <w:szCs w:val="21"/>
              </w:rPr>
              <w:t>；</w:t>
            </w:r>
            <w:r>
              <w:rPr>
                <w:rFonts w:hint="eastAsia"/>
                <w:szCs w:val="21"/>
              </w:rPr>
              <w:t>；2）</w:t>
            </w:r>
            <w:r>
              <w:rPr>
                <w:rFonts w:hint="eastAsia" w:ascii="宋体" w:hAnsi="宋体"/>
                <w:color w:val="000000"/>
                <w:szCs w:val="21"/>
              </w:rPr>
              <w:t>无火灾事故发生</w:t>
            </w:r>
            <w:r>
              <w:rPr>
                <w:rFonts w:hint="eastAsia" w:ascii="宋体"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9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增强型改性发泡水泥保温板的销售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rPr>
              <w:t>办公场所面积500平方左右，</w:t>
            </w:r>
            <w:r>
              <w:rPr>
                <w:rFonts w:hint="eastAsia" w:asciiTheme="minorEastAsia" w:hAnsiTheme="minorEastAsia" w:eastAsiaTheme="minorEastAsia" w:cstheme="minorEastAsia"/>
                <w:szCs w:val="21"/>
              </w:rPr>
              <w:t>设有面积30平方米的样品摆放间供客户参观</w:t>
            </w:r>
            <w:r>
              <w:rPr>
                <w:rFonts w:hint="eastAsia" w:ascii="宋体" w:hAnsi="宋体"/>
                <w:szCs w:val="21"/>
              </w:rPr>
              <w:t>。</w:t>
            </w:r>
            <w:r>
              <w:rPr>
                <w:rFonts w:hint="eastAsia" w:ascii="宋体" w:hAnsi="宋体" w:cs="宋体"/>
                <w:szCs w:val="21"/>
              </w:rPr>
              <w:t>主要设备为电脑、打印机、传真机等办公设备</w:t>
            </w:r>
            <w:r>
              <w:rPr>
                <w:rFonts w:hint="eastAsia" w:ascii="宋体" w:hAnsi="宋体"/>
                <w:szCs w:val="21"/>
              </w:rPr>
              <w:t>，可以满足增强型改性发泡水泥保温板的销售的需要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w:t>
            </w:r>
            <w:r>
              <w:rPr>
                <w:rFonts w:hint="eastAsia" w:ascii="宋体" w:hAnsi="宋体" w:cs="宋体"/>
                <w:color w:val="000000"/>
                <w:szCs w:val="21"/>
                <w:highlight w:val="none"/>
              </w:rPr>
              <w:t>通</w:t>
            </w:r>
            <w:r>
              <w:rPr>
                <w:rFonts w:hint="eastAsia" w:ascii="宋体" w:hAnsi="宋体" w:cs="宋体"/>
                <w:szCs w:val="21"/>
                <w:highlight w:val="none"/>
              </w:rPr>
              <w:t>过202</w:t>
            </w:r>
            <w:r>
              <w:rPr>
                <w:rFonts w:hint="eastAsia" w:ascii="宋体" w:hAnsi="宋体" w:cs="宋体"/>
                <w:szCs w:val="21"/>
                <w:highlight w:val="none"/>
                <w:lang w:val="en-US" w:eastAsia="zh-CN"/>
              </w:rPr>
              <w:t>1</w:t>
            </w:r>
            <w:r>
              <w:rPr>
                <w:rFonts w:hint="eastAsia" w:ascii="宋体" w:hAnsi="宋体" w:cs="宋体"/>
                <w:szCs w:val="21"/>
                <w:highlight w:val="none"/>
              </w:rPr>
              <w:t>年1-</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w:t>
            </w:r>
            <w:r>
              <w:rPr>
                <w:rFonts w:hint="eastAsia" w:ascii="宋体" w:hAnsi="宋体" w:eastAsia="宋体"/>
                <w:szCs w:val="21"/>
              </w:rPr>
              <w:t>规定了内审频次一年一次，内审时间：20</w:t>
            </w:r>
            <w:r>
              <w:rPr>
                <w:rFonts w:hint="eastAsia" w:ascii="宋体" w:hAnsi="宋体" w:eastAsia="宋体"/>
                <w:szCs w:val="21"/>
                <w:lang w:val="en-US" w:eastAsia="zh-CN"/>
              </w:rPr>
              <w:t>21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日，拟定了审核实施表，明确了内审范围，内审人员经培训合格上岗，能力满足要求，未出现审核本部门情况，内审不符合项1项，涉及综合部E7.</w:t>
            </w:r>
            <w:r>
              <w:rPr>
                <w:rFonts w:hint="eastAsia" w:ascii="宋体" w:hAnsi="宋体" w:eastAsia="宋体"/>
                <w:szCs w:val="21"/>
                <w:lang w:val="en-US" w:eastAsia="zh-CN"/>
              </w:rPr>
              <w:t>2</w:t>
            </w:r>
            <w:r>
              <w:rPr>
                <w:rFonts w:hint="eastAsia" w:ascii="宋体" w:hAnsi="宋体" w:eastAsia="宋体"/>
                <w:szCs w:val="21"/>
              </w:rPr>
              <w:t>条款</w:t>
            </w:r>
            <w:r>
              <w:rPr>
                <w:rFonts w:hint="eastAsia" w:ascii="宋体" w:hAnsi="宋体" w:eastAsia="宋体"/>
                <w:szCs w:val="21"/>
                <w:lang w:eastAsia="zh-CN"/>
              </w:rPr>
              <w:t>“不能提供</w:t>
            </w:r>
            <w:r>
              <w:rPr>
                <w:rFonts w:hint="eastAsia" w:ascii="宋体" w:hAnsi="宋体" w:eastAsia="宋体"/>
                <w:szCs w:val="21"/>
              </w:rPr>
              <w:t>《</w:t>
            </w:r>
            <w:r>
              <w:rPr>
                <w:rFonts w:hint="eastAsia" w:ascii="宋体" w:hAnsi="宋体" w:eastAsia="宋体"/>
                <w:szCs w:val="21"/>
                <w:lang w:val="en-US" w:eastAsia="zh-CN"/>
              </w:rPr>
              <w:t>员工培训记录</w:t>
            </w:r>
            <w:r>
              <w:rPr>
                <w:rFonts w:hint="eastAsia" w:ascii="宋体" w:hAnsi="宋体" w:eastAsia="宋体"/>
                <w:szCs w:val="21"/>
              </w:rPr>
              <w:t>》</w:t>
            </w:r>
            <w:r>
              <w:rPr>
                <w:rFonts w:hint="eastAsia" w:ascii="宋体" w:hAnsi="宋体" w:eastAsia="宋体"/>
                <w:szCs w:val="21"/>
                <w:lang w:eastAsia="zh-CN"/>
              </w:rPr>
              <w:t>”</w:t>
            </w:r>
            <w:r>
              <w:rPr>
                <w:rFonts w:hint="eastAsia" w:ascii="宋体" w:hAnsi="宋体" w:eastAsia="宋体"/>
                <w:szCs w:val="21"/>
              </w:rPr>
              <w:t>，针对该不符合项，已及时采取纠正措施后</w:t>
            </w:r>
            <w:r>
              <w:rPr>
                <w:rFonts w:hint="eastAsia" w:ascii="宋体" w:hAnsi="宋体"/>
                <w:szCs w:val="21"/>
              </w:rPr>
              <w:t>，经内审员验证关闭。内审的有效性需要改善。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w:t>
            </w:r>
            <w:r>
              <w:rPr>
                <w:rFonts w:hint="eastAsia" w:ascii="宋体" w:hAnsi="宋体" w:eastAsia="宋体" w:cs="宋体"/>
                <w:szCs w:val="21"/>
              </w:rPr>
              <w:t>年一次、本次管理评审于20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月25日由总经理主持完成、提供主要输入材料有各部门总结，输入信息基本充分和满足要求。输出见“管理评审报告”,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综合部门</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6.1.2条款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次审核共开具不符合项报告1项；其中</w:t>
      </w:r>
      <w:r>
        <w:rPr>
          <w:b/>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综合</w:t>
      </w:r>
      <w:r>
        <w:rPr>
          <w:rFonts w:hint="eastAsia"/>
          <w:b/>
          <w:sz w:val="26"/>
          <w:szCs w:val="26"/>
          <w:highlight w:val="none"/>
        </w:rPr>
        <w:t>部门</w:t>
      </w:r>
      <w:r>
        <w:rPr>
          <w:rFonts w:hint="eastAsia"/>
          <w:b/>
          <w:sz w:val="26"/>
          <w:szCs w:val="26"/>
          <w:highlight w:val="none"/>
          <w:lang w:val="en-US" w:eastAsia="zh-CN"/>
        </w:rPr>
        <w:t>E8.2</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720" w:firstLineChars="3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重庆邦瑞新材料有限公司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1743075</wp:posOffset>
            </wp:positionH>
            <wp:positionV relativeFrom="paragraph">
              <wp:posOffset>196850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4384" behindDoc="0" locked="0" layoutInCell="1" allowOverlap="1">
            <wp:simplePos x="0" y="0"/>
            <wp:positionH relativeFrom="column">
              <wp:posOffset>1685925</wp:posOffset>
            </wp:positionH>
            <wp:positionV relativeFrom="paragraph">
              <wp:posOffset>106045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4849" w:firstLineChars="2300"/>
        <w:rPr>
          <w:rFonts w:hint="default" w:eastAsia="宋体"/>
          <w:b/>
          <w:sz w:val="21"/>
          <w:lang w:val="en-US" w:eastAsia="zh-CN"/>
        </w:rPr>
      </w:pPr>
      <w:r>
        <w:rPr>
          <w:rFonts w:hint="eastAsia"/>
          <w:b/>
          <w:sz w:val="21"/>
        </w:rPr>
        <w:t>日期：</w:t>
      </w:r>
      <w:r>
        <w:rPr>
          <w:rFonts w:hint="eastAsia"/>
          <w:b/>
          <w:sz w:val="21"/>
          <w:lang w:val="en-US" w:eastAsia="zh-CN"/>
        </w:rPr>
        <w:t>2021年8月6日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bCs/>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rPr>
          <w:rFonts w:hint="eastAsia"/>
          <w:b/>
          <w:sz w:val="22"/>
          <w:szCs w:val="22"/>
        </w:rPr>
        <w:drawing>
          <wp:anchor distT="0" distB="0" distL="114300" distR="114300" simplePos="0" relativeHeight="251665408" behindDoc="0" locked="0" layoutInCell="1" allowOverlap="1">
            <wp:simplePos x="0" y="0"/>
            <wp:positionH relativeFrom="column">
              <wp:posOffset>1244600</wp:posOffset>
            </wp:positionH>
            <wp:positionV relativeFrom="paragraph">
              <wp:posOffset>144780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w:t>
      </w:r>
      <w:bookmarkStart w:id="31" w:name="_GoBack"/>
      <w:r>
        <w:rPr>
          <w:rFonts w:hint="eastAsia"/>
          <w:b/>
          <w:sz w:val="21"/>
          <w:szCs w:val="21"/>
        </w:rPr>
        <w:t>期：</w:t>
      </w:r>
      <w:r>
        <w:rPr>
          <w:rFonts w:hint="eastAsia"/>
          <w:b/>
          <w:sz w:val="21"/>
          <w:szCs w:val="21"/>
          <w:lang w:val="en-US" w:eastAsia="zh-CN"/>
        </w:rPr>
        <w:t>2021年8月10日</w:t>
      </w:r>
      <w:bookmarkEnd w:id="31"/>
    </w:p>
    <w:p>
      <w:pPr>
        <w:tabs>
          <w:tab w:val="left" w:pos="6880"/>
          <w:tab w:val="left" w:pos="7740"/>
          <w:tab w:val="left" w:pos="8385"/>
        </w:tabs>
        <w:snapToGrid w:val="0"/>
        <w:spacing w:before="163" w:beforeLines="50"/>
        <w:ind w:firstLine="723" w:firstLineChars="343"/>
        <w:rPr>
          <w:b/>
          <w:sz w:val="21"/>
          <w:szCs w:val="21"/>
          <w:u w:val="single"/>
        </w:rPr>
      </w:pP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B6F98"/>
    <w:rsid w:val="153A4828"/>
    <w:rsid w:val="57911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2021-08-06T06:12:07Z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014624C45D404E969EDF41AA9A65C3FF</vt:lpwstr>
  </property>
</Properties>
</file>