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浙江杭泰安保服务有限公司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0804-2021-QEO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p w:rsidR="009F508A">
            <w:pPr>
              <w:snapToGrid w:val="0"/>
              <w:spacing w:line="320" w:lineRule="exact"/>
              <w:ind w:left="1309"/>
              <w:rPr>
                <w:sz w:val="22"/>
                <w:szCs w:val="22"/>
                <w:highlight w:val="yellow"/>
              </w:rPr>
            </w:pPr>
            <w:r>
              <w:rPr>
                <w:sz w:val="22"/>
                <w:szCs w:val="22"/>
                <w:highlight w:val="yellow"/>
              </w:rPr>
              <w:t>2021-N1EMS-1266613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应红艳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ISC-JSZJ-178</w:t>
            </w:r>
          </w:p>
          <w:p w:rsidR="009F508A">
            <w:pPr>
              <w:snapToGrid w:val="0"/>
              <w:spacing w:line="320" w:lineRule="exact"/>
              <w:ind w:left="1309"/>
              <w:rPr>
                <w:sz w:val="22"/>
                <w:szCs w:val="22"/>
                <w:highlight w:val="yellow"/>
              </w:rPr>
            </w:pPr>
            <w:r>
              <w:rPr>
                <w:sz w:val="22"/>
                <w:szCs w:val="22"/>
                <w:highlight w:val="yellow"/>
              </w:rPr>
              <w:t>杭州昊海企业管理咨询有限公司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