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rFonts w:ascii="Times New Roman" w:hAnsi="Times New Roman" w:eastAsia="宋体" w:cs="Times New Roman"/>
                <w:kern w:val="2"/>
                <w:sz w:val="21"/>
                <w:lang w:val="en-US" w:eastAsia="zh-CN" w:bidi="ar-SA"/>
              </w:rPr>
            </w:pPr>
            <w:r>
              <w:rPr>
                <w:rFonts w:hint="eastAsia"/>
                <w:sz w:val="24"/>
                <w:szCs w:val="24"/>
              </w:rPr>
              <w:t>抽样计划</w:t>
            </w:r>
          </w:p>
          <w:p>
            <w:pPr>
              <w:jc w:val="center"/>
            </w:pPr>
          </w:p>
        </w:tc>
        <w:tc>
          <w:tcPr>
            <w:tcW w:w="960" w:type="dxa"/>
            <w:vMerge w:val="restart"/>
            <w:vAlign w:val="center"/>
          </w:tcPr>
          <w:p>
            <w:pPr>
              <w:rPr>
                <w:sz w:val="24"/>
                <w:szCs w:val="24"/>
              </w:rPr>
            </w:pPr>
            <w:r>
              <w:rPr>
                <w:rFonts w:hint="eastAsia"/>
                <w:sz w:val="24"/>
                <w:szCs w:val="24"/>
              </w:rPr>
              <w:t>涉及</w:t>
            </w:r>
          </w:p>
          <w:p>
            <w:pPr>
              <w:rPr>
                <w:rFonts w:ascii="Times New Roman" w:hAnsi="Times New Roman" w:eastAsia="宋体" w:cs="Times New Roman"/>
                <w:kern w:val="2"/>
                <w:sz w:val="21"/>
                <w:lang w:val="en-US" w:eastAsia="zh-CN" w:bidi="ar-SA"/>
              </w:rPr>
            </w:pPr>
            <w:r>
              <w:rPr>
                <w:rFonts w:hint="eastAsia"/>
                <w:sz w:val="24"/>
                <w:szCs w:val="24"/>
              </w:rPr>
              <w:t>条款</w:t>
            </w:r>
          </w:p>
          <w:p/>
        </w:tc>
        <w:tc>
          <w:tcPr>
            <w:tcW w:w="10004"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受审核部门：主管领导/陪同人员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sz w:val="24"/>
                <w:szCs w:val="24"/>
                <w:lang w:val="en-US" w:eastAsia="zh-CN"/>
              </w:rPr>
            </w:pPr>
            <w:r>
              <w:rPr>
                <w:rFonts w:hint="eastAsia"/>
                <w:sz w:val="24"/>
                <w:szCs w:val="24"/>
              </w:rPr>
              <w:t>审核员：</w:t>
            </w:r>
            <w:r>
              <w:rPr>
                <w:rFonts w:hint="eastAsia"/>
                <w:sz w:val="21"/>
                <w:szCs w:val="21"/>
                <w:lang w:val="en-US" w:eastAsia="zh-CN"/>
              </w:rPr>
              <w:t>林兵、石帆、应红艳</w:t>
            </w:r>
            <w:r>
              <w:rPr>
                <w:rFonts w:hint="eastAsia"/>
                <w:sz w:val="24"/>
                <w:szCs w:val="24"/>
                <w:lang w:val="en-US" w:eastAsia="zh-CN"/>
              </w:rPr>
              <w:t xml:space="preserve">    </w:t>
            </w:r>
          </w:p>
          <w:p>
            <w:pPr>
              <w:spacing w:before="120"/>
              <w:rPr>
                <w:rFonts w:hint="default" w:ascii="Times New Roman" w:hAnsi="Times New Roman" w:eastAsia="宋体" w:cs="Times New Roman"/>
                <w:kern w:val="2"/>
                <w:sz w:val="21"/>
                <w:lang w:val="en-US" w:eastAsia="zh-CN" w:bidi="ar-SA"/>
              </w:rPr>
            </w:pPr>
            <w:r>
              <w:rPr>
                <w:rFonts w:hint="eastAsia"/>
                <w:sz w:val="24"/>
                <w:szCs w:val="24"/>
              </w:rPr>
              <w:t>审核时间：</w:t>
            </w:r>
            <w:r>
              <w:rPr>
                <w:rFonts w:hint="eastAsia"/>
                <w:sz w:val="24"/>
                <w:szCs w:val="24"/>
                <w:lang w:val="en-US" w:eastAsia="zh-CN"/>
              </w:rPr>
              <w:t>2021年8月8</w:t>
            </w:r>
            <w:bookmarkStart w:id="1" w:name="_GoBack"/>
            <w:bookmarkEnd w:id="1"/>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 xml:space="preserve">企业基本情况 </w:t>
            </w: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szCs w:val="22"/>
                <w:u w:val="single"/>
                <w:lang w:val="en-US" w:eastAsia="zh-CN"/>
              </w:rPr>
              <w:t>高为为</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彭玮</w:t>
            </w:r>
            <w:r>
              <w:rPr>
                <w:rFonts w:hint="eastAsia" w:ascii="宋体" w:hAnsi="宋体"/>
                <w:szCs w:val="22"/>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u w:val="single"/>
              </w:rPr>
              <w:t>：</w:t>
            </w:r>
            <w:r>
              <w:rPr>
                <w:rFonts w:hint="eastAsia" w:ascii="宋体" w:hAnsi="宋体"/>
                <w:u w:val="single"/>
                <w:lang w:val="en-US" w:eastAsia="zh-CN"/>
              </w:rPr>
              <w:t>彭敏</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25</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）各体系人数：/E/0 ：</w:t>
            </w:r>
            <w:r>
              <w:rPr>
                <w:rFonts w:hint="eastAsia" w:ascii="宋体" w:hAnsi="宋体"/>
                <w:u w:val="single"/>
              </w:rPr>
              <w:t xml:space="preserve"> </w:t>
            </w:r>
            <w:r>
              <w:rPr>
                <w:rFonts w:hint="eastAsia" w:ascii="宋体" w:hAnsi="宋体"/>
                <w:u w:val="single"/>
                <w:lang w:val="en-US" w:eastAsia="zh-CN"/>
              </w:rPr>
              <w:t>25</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lang w:val="en-US" w:eastAsia="zh-CN"/>
              </w:rPr>
              <w:t>两</w:t>
            </w:r>
            <w:r>
              <w:rPr>
                <w:rFonts w:hint="eastAsia" w:ascii="宋体" w:hAnsi="宋体"/>
                <w:szCs w:val="21"/>
                <w:u w:val="single"/>
              </w:rPr>
              <w:t>班</w:t>
            </w:r>
            <w:r>
              <w:rPr>
                <w:rFonts w:ascii="宋体" w:hAnsi="宋体"/>
                <w:szCs w:val="21"/>
                <w:u w:val="single"/>
              </w:rPr>
              <w:t xml:space="preserve">          </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 等</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sz w:val="18"/>
                <w:szCs w:val="18"/>
              </w:rPr>
            </w:pPr>
            <w:bookmarkStart w:id="0" w:name="审核范围"/>
            <w:r>
              <w:rPr>
                <w:sz w:val="18"/>
                <w:szCs w:val="18"/>
              </w:rPr>
              <w:t>Q：保安服务（门卫、巡逻、随身护卫、安全检查）</w:t>
            </w:r>
          </w:p>
          <w:p>
            <w:pPr>
              <w:rPr>
                <w:sz w:val="18"/>
                <w:szCs w:val="18"/>
              </w:rPr>
            </w:pPr>
            <w:r>
              <w:rPr>
                <w:sz w:val="18"/>
                <w:szCs w:val="18"/>
              </w:rPr>
              <w:t>E：保安服务（门卫、巡逻、随身护卫、安全检查）所涉及场所的相关环境管理活动</w:t>
            </w:r>
          </w:p>
          <w:p>
            <w:pPr>
              <w:adjustRightInd w:val="0"/>
              <w:spacing w:line="280" w:lineRule="exact"/>
              <w:jc w:val="left"/>
              <w:rPr>
                <w:rFonts w:hint="eastAsia" w:ascii="Times New Roman" w:hAnsi="Times New Roman" w:eastAsia="宋体" w:cs="Times New Roman"/>
                <w:kern w:val="2"/>
                <w:sz w:val="21"/>
                <w:lang w:val="en-US" w:eastAsia="zh-CN" w:bidi="ar-SA"/>
              </w:rPr>
            </w:pPr>
            <w:r>
              <w:rPr>
                <w:sz w:val="18"/>
                <w:szCs w:val="18"/>
              </w:rPr>
              <w:t>O：保安服务（门卫、巡逻、随身护卫、安全检查）所涉及场所的相关职业健康安全管理活动</w:t>
            </w:r>
            <w:bookmarkEnd w:id="0"/>
            <w:r>
              <w:rPr>
                <w:rFonts w:hint="eastAsia"/>
                <w:sz w:val="18"/>
                <w:szCs w:val="18"/>
                <w:lang w:val="en-US" w:eastAsia="zh-CN"/>
              </w:rPr>
              <w:t xml:space="preserve"> </w:t>
            </w:r>
            <w:r>
              <w:rPr>
                <w:rFonts w:hint="eastAsia" w:ascii="宋体" w:hAnsi="宋体"/>
                <w:szCs w:val="21"/>
              </w:rPr>
              <w:t>确认体系文件中描述的、与申请的、与实际的是否一致：■一致，□不一致</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sym w:font="Wingdings 2" w:char="0052"/>
            </w:r>
            <w:r>
              <w:rPr>
                <w:rFonts w:hint="eastAsia" w:ascii="宋体" w:hAnsi="宋体"/>
                <w:color w:val="000000"/>
                <w:szCs w:val="21"/>
              </w:rPr>
              <w:t>有，条款及要求：</w:t>
            </w:r>
            <w:r>
              <w:rPr>
                <w:rFonts w:hint="eastAsia" w:ascii="宋体" w:hAnsi="宋体"/>
                <w:color w:val="000000"/>
                <w:szCs w:val="21"/>
                <w:u w:val="single"/>
              </w:rPr>
              <w:t>　</w:t>
            </w:r>
            <w:r>
              <w:rPr>
                <w:rFonts w:hint="eastAsia" w:ascii="宋体" w:hAnsi="宋体"/>
                <w:color w:val="000000"/>
                <w:szCs w:val="21"/>
                <w:u w:val="single"/>
                <w:lang w:val="en-US" w:eastAsia="zh-CN"/>
              </w:rPr>
              <w:t>8.3条款</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52"/>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s="Times New Roman"/>
                <w:color w:val="000000"/>
                <w:szCs w:val="21"/>
                <w:u w:val="single"/>
                <w:lang w:val="en-US" w:eastAsia="zh-CN"/>
              </w:rPr>
              <w:t>按《浙江省保安服务管理条例》和服务合同执行，提供合格服务； 又加上公司多年运营经验，删除设计开发条款不影响服务质量。</w:t>
            </w:r>
            <w:r>
              <w:rPr>
                <w:rFonts w:ascii="宋体" w:hAnsi="宋体" w:cs="Times New Roman"/>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rPr>
              <w:t>　　　　</w:t>
            </w:r>
          </w:p>
          <w:p>
            <w:pPr>
              <w:adjustRightInd w:val="0"/>
              <w:spacing w:line="280" w:lineRule="exact"/>
              <w:jc w:val="left"/>
              <w:rPr>
                <w:rFonts w:hint="eastAsia" w:ascii="宋体" w:hAnsi="宋体" w:eastAsia="宋体" w:cs="Times New Roman"/>
                <w:color w:val="333333"/>
                <w:kern w:val="2"/>
                <w:sz w:val="21"/>
                <w:szCs w:val="21"/>
                <w:lang w:val="en-US" w:eastAsia="zh-CN" w:bidi="ar-SA"/>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jc w:val="left"/>
              <w:rPr>
                <w:rFonts w:ascii="Times New Roman" w:hAnsi="Times New Roman" w:eastAsia="宋体" w:cs="Times New Roman"/>
                <w:kern w:val="2"/>
                <w:sz w:val="21"/>
                <w:lang w:val="en-US" w:eastAsia="zh-CN" w:bidi="ar-SA"/>
              </w:rPr>
            </w:pPr>
            <w:r>
              <w:rPr>
                <w:rFonts w:hint="eastAsia" w:ascii="宋体" w:hAnsi="宋体"/>
                <w:b/>
                <w:bCs/>
              </w:rPr>
              <w:t>管理体系文件</w:t>
            </w: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w:t>
            </w:r>
            <w:r>
              <w:rPr>
                <w:rFonts w:hint="eastAsia" w:ascii="宋体" w:hAnsi="宋体"/>
                <w:u w:val="single"/>
                <w:lang w:val="en-US" w:eastAsia="zh-CN"/>
              </w:rPr>
              <w:t>1</w:t>
            </w:r>
            <w:r>
              <w:rPr>
                <w:rFonts w:hint="eastAsia" w:ascii="宋体" w:hAnsi="宋体"/>
                <w:u w:val="single"/>
              </w:rPr>
              <w:t>年</w:t>
            </w:r>
            <w:r>
              <w:rPr>
                <w:rFonts w:hint="eastAsia" w:ascii="宋体" w:hAnsi="宋体"/>
                <w:u w:val="single"/>
                <w:lang w:val="en-US" w:eastAsia="zh-CN"/>
              </w:rPr>
              <w:t>1</w:t>
            </w:r>
            <w:r>
              <w:rPr>
                <w:rFonts w:hint="eastAsia" w:ascii="宋体" w:hAnsi="宋体"/>
                <w:u w:val="single"/>
              </w:rPr>
              <w:t>月</w:t>
            </w:r>
            <w:r>
              <w:rPr>
                <w:rFonts w:hint="eastAsia" w:ascii="宋体" w:hAnsi="宋体"/>
                <w:u w:val="single"/>
                <w:lang w:val="en-US" w:eastAsia="zh-CN"/>
              </w:rPr>
              <w:t>5日</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eastAsia="宋体" w:cs="Times New Roman"/>
                <w:color w:val="333333"/>
                <w:kern w:val="2"/>
                <w:sz w:val="21"/>
                <w:szCs w:val="21"/>
                <w:lang w:val="en-US" w:eastAsia="zh-CN" w:bidi="ar-SA"/>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jc w:val="left"/>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eastAsia="宋体" w:cs="Times New Roman"/>
                <w:color w:val="333333"/>
                <w:kern w:val="2"/>
                <w:sz w:val="21"/>
                <w:szCs w:val="21"/>
                <w:lang w:val="en-US" w:eastAsia="zh-CN" w:bidi="ar-SA"/>
              </w:rPr>
            </w:pPr>
            <w:r>
              <w:rPr>
                <w:rFonts w:hint="eastAsia" w:ascii="Arial" w:hAnsi="Arial" w:cs="Arial"/>
                <w:szCs w:val="21"/>
              </w:rPr>
              <w:t>管理制度</w:t>
            </w:r>
            <w:r>
              <w:rPr>
                <w:rFonts w:hint="eastAsia" w:ascii="Arial" w:hAnsi="Arial" w:cs="Arial"/>
                <w:szCs w:val="21"/>
                <w:lang w:val="en-US" w:eastAsia="zh-CN"/>
              </w:rPr>
              <w:t>汇编</w:t>
            </w:r>
            <w:r>
              <w:rPr>
                <w:rFonts w:hint="eastAsia" w:ascii="Arial" w:hAnsi="Arial" w:cs="Arial"/>
                <w:szCs w:val="21"/>
              </w:rPr>
              <w:t>。</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jc w:val="left"/>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21</w:t>
            </w:r>
            <w:r>
              <w:rPr>
                <w:rFonts w:hint="eastAsia" w:ascii="宋体" w:hAnsi="宋体"/>
                <w:szCs w:val="22"/>
              </w:rPr>
              <w:t>年</w:t>
            </w:r>
            <w:r>
              <w:rPr>
                <w:rFonts w:hint="eastAsia" w:ascii="宋体" w:hAnsi="宋体"/>
                <w:szCs w:val="22"/>
                <w:lang w:val="en-US" w:eastAsia="zh-CN"/>
              </w:rPr>
              <w:t>1</w:t>
            </w:r>
            <w:r>
              <w:rPr>
                <w:rFonts w:hint="eastAsia" w:ascii="宋体" w:hAnsi="宋体"/>
                <w:szCs w:val="22"/>
              </w:rPr>
              <w:t>月</w:t>
            </w:r>
            <w:r>
              <w:rPr>
                <w:rFonts w:hint="eastAsia" w:ascii="宋体" w:hAnsi="宋体"/>
                <w:szCs w:val="22"/>
                <w:lang w:val="en-US" w:eastAsia="zh-CN"/>
              </w:rPr>
              <w:t>5</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sym w:font="Wingdings 2" w:char="0052"/>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hint="eastAsia" w:ascii="Arial" w:hAnsi="Arial" w:eastAsia="宋体" w:cs="Arial"/>
                <w:kern w:val="2"/>
                <w:sz w:val="21"/>
                <w:szCs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0" w:type="auto"/>
            <w:vAlign w:val="top"/>
          </w:tcPr>
          <w:p>
            <w:pPr>
              <w:rPr>
                <w:rFonts w:ascii="Times New Roman" w:hAnsi="Times New Roman" w:eastAsia="宋体" w:cs="Times New Roman"/>
                <w:kern w:val="2"/>
                <w:sz w:val="21"/>
                <w:lang w:val="en-US" w:eastAsia="zh-CN" w:bidi="ar-SA"/>
              </w:rPr>
            </w:pPr>
            <w:r>
              <w:rPr>
                <w:rFonts w:hint="eastAsia"/>
                <w:szCs w:val="21"/>
              </w:rPr>
              <w:t>6.1</w:t>
            </w:r>
          </w:p>
        </w:tc>
        <w:tc>
          <w:tcPr>
            <w:tcW w:w="0" w:type="auto"/>
            <w:vAlign w:val="top"/>
          </w:tcPr>
          <w:p>
            <w:pPr>
              <w:adjustRightInd w:val="0"/>
              <w:spacing w:line="360" w:lineRule="auto"/>
              <w:jc w:val="left"/>
              <w:rPr>
                <w:rFonts w:ascii="宋体"/>
                <w:szCs w:val="22"/>
              </w:rPr>
            </w:pPr>
            <w:r>
              <w:rPr>
                <w:rFonts w:hint="eastAsia" w:ascii="宋体"/>
                <w:szCs w:val="22"/>
              </w:rPr>
              <w:t>与组织目标和战略方向相关并影响其实现管理体系预期结果的各种外部和内部因素:</w:t>
            </w:r>
          </w:p>
          <w:p>
            <w:pPr>
              <w:adjustRightInd w:val="0"/>
              <w:spacing w:line="360" w:lineRule="auto"/>
              <w:jc w:val="left"/>
              <w:rPr>
                <w:rFonts w:ascii="宋体"/>
                <w:szCs w:val="22"/>
              </w:rPr>
            </w:pPr>
            <w:r>
              <w:rPr>
                <w:rFonts w:hint="eastAsia" w:ascii="宋体"/>
                <w:szCs w:val="22"/>
              </w:rPr>
              <w:t>1）确定情况：</w:t>
            </w:r>
          </w:p>
          <w:p>
            <w:pPr>
              <w:adjustRightInd w:val="0"/>
              <w:spacing w:line="360" w:lineRule="auto"/>
              <w:jc w:val="left"/>
              <w:rPr>
                <w:rFonts w:ascii="宋体"/>
                <w:szCs w:val="22"/>
              </w:rPr>
            </w:pPr>
            <w:r>
              <w:rPr>
                <w:rFonts w:hint="eastAsia" w:ascii="宋体"/>
                <w:szCs w:val="22"/>
              </w:rPr>
              <w:t>提供《组织的内外重要环境因素分析表》，确定了公司相关的内外部因素。</w:t>
            </w:r>
          </w:p>
          <w:p>
            <w:pPr>
              <w:adjustRightInd w:val="0"/>
              <w:spacing w:line="360" w:lineRule="auto"/>
              <w:jc w:val="left"/>
              <w:rPr>
                <w:rFonts w:ascii="宋体"/>
                <w:szCs w:val="22"/>
              </w:rPr>
            </w:pPr>
            <w:r>
              <w:rPr>
                <w:rFonts w:hint="eastAsia" w:ascii="宋体"/>
                <w:szCs w:val="22"/>
              </w:rPr>
              <w:t>2）监视和评审情况：</w:t>
            </w:r>
          </w:p>
          <w:p>
            <w:pPr>
              <w:adjustRightInd w:val="0"/>
              <w:spacing w:line="360" w:lineRule="auto"/>
              <w:jc w:val="left"/>
              <w:rPr>
                <w:rFonts w:hint="eastAsia" w:ascii="宋体" w:hAnsi="Times New Roman" w:eastAsia="宋体" w:cs="Times New Roman"/>
                <w:kern w:val="2"/>
                <w:sz w:val="21"/>
                <w:szCs w:val="22"/>
                <w:lang w:val="en-US" w:eastAsia="zh-CN" w:bidi="ar-SA"/>
              </w:rPr>
            </w:pPr>
            <w:r>
              <w:rPr>
                <w:rFonts w:hint="eastAsia" w:ascii="宋体"/>
                <w:szCs w:val="22"/>
              </w:rPr>
              <w:t xml:space="preserve">   每年监视评审一次，一般是从网络获取。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提供《组织的内外重要环境因素分析表》，确定了公司相关的内外部因素。</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提供《风险和机遇评估分析表》，针对确定的风险和机遇明确了控制措施，同时也确定了责任部门、时间期限等。</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hint="eastAsia" w:ascii="宋体" w:hAnsi="宋体"/>
                <w:szCs w:val="21"/>
              </w:rPr>
            </w:pPr>
            <w:r>
              <w:rPr>
                <w:rFonts w:hint="eastAsia" w:ascii="宋体" w:hAnsi="宋体"/>
                <w:szCs w:val="21"/>
              </w:rPr>
              <w:t>1）过程描述：</w:t>
            </w:r>
          </w:p>
          <w:p>
            <w:pPr>
              <w:adjustRightInd w:val="0"/>
              <w:spacing w:line="360" w:lineRule="auto"/>
              <w:ind w:firstLine="630" w:firstLineChars="300"/>
              <w:jc w:val="left"/>
              <w:rPr>
                <w:rFonts w:hint="default" w:ascii="Times New Roman" w:hAnsi="Times New Roman" w:cs="Times New Roman"/>
                <w:b/>
                <w:sz w:val="20"/>
                <w:szCs w:val="22"/>
                <w:lang w:val="en-US" w:eastAsia="zh-CN"/>
              </w:rPr>
            </w:pPr>
            <w:r>
              <w:rPr>
                <w:rFonts w:hint="eastAsia"/>
                <w:szCs w:val="21"/>
              </w:rPr>
              <w:t>过程：</w:t>
            </w:r>
            <w:r>
              <w:rPr>
                <w:rFonts w:hint="eastAsia" w:ascii="Times New Roman" w:hAnsi="Times New Roman" w:cs="Times New Roman"/>
                <w:b/>
                <w:sz w:val="20"/>
                <w:szCs w:val="22"/>
                <w:lang w:val="en-US" w:eastAsia="zh-CN"/>
              </w:rPr>
              <w:t>签订保安服务合同——提供安保服务方案——组织保安人员进场——日常服务——日常检查</w:t>
            </w:r>
          </w:p>
          <w:p>
            <w:pPr>
              <w:rPr>
                <w:rFonts w:hint="default" w:eastAsia="宋体"/>
                <w:szCs w:val="21"/>
                <w:lang w:val="en-US" w:eastAsia="zh-CN"/>
              </w:rPr>
            </w:pP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保安</w:t>
            </w:r>
            <w:r>
              <w:rPr>
                <w:rFonts w:hint="eastAsia"/>
                <w:szCs w:val="21"/>
                <w:lang w:val="en-US" w:eastAsia="zh-CN"/>
              </w:rPr>
              <w:t>服务现场</w:t>
            </w:r>
            <w:r>
              <w:rPr>
                <w:rFonts w:hint="eastAsia" w:ascii="宋体" w:hAnsi="宋体"/>
              </w:rPr>
              <w:t xml:space="preserve"> </w:t>
            </w:r>
          </w:p>
          <w:p>
            <w:pPr>
              <w:adjustRightInd w:val="0"/>
              <w:spacing w:line="360" w:lineRule="auto"/>
              <w:ind w:firstLine="315" w:firstLineChars="150"/>
              <w:jc w:val="left"/>
              <w:rPr>
                <w:rFonts w:hint="eastAsia" w:ascii="宋体" w:hAnsi="宋体" w:eastAsia="宋体" w:cs="Times New Roman"/>
                <w:kern w:val="2"/>
                <w:sz w:val="21"/>
                <w:szCs w:val="21"/>
                <w:lang w:val="en-US" w:eastAsia="zh-CN" w:bidi="ar-SA"/>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sym w:font="Wingdings 2" w:char="0052"/>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sym w:font="Wingdings 2" w:char="00A3"/>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 xml:space="preserve"> </w:t>
            </w:r>
          </w:p>
          <w:p>
            <w:pPr>
              <w:tabs>
                <w:tab w:val="left" w:pos="1305"/>
              </w:tabs>
              <w:rPr>
                <w:rFonts w:hint="eastAsia" w:ascii="宋体" w:hAnsi="宋体" w:eastAsia="宋体" w:cs="Times New Roman"/>
                <w:kern w:val="2"/>
                <w:sz w:val="21"/>
                <w:szCs w:val="21"/>
                <w:lang w:val="en-US" w:eastAsia="zh-CN" w:bidi="ar-SA"/>
              </w:rPr>
            </w:pPr>
            <w:r>
              <w:rPr>
                <w:rFonts w:hint="eastAsia" w:ascii="宋体" w:hAnsi="宋体"/>
              </w:rPr>
              <w:t xml:space="preserve">   </w:t>
            </w:r>
            <w:r>
              <w:rPr>
                <w:rFonts w:hint="eastAsia" w:ascii="宋体" w:hAnsi="宋体"/>
                <w:u w:val="single"/>
                <w:lang w:val="en-US" w:eastAsia="zh-CN"/>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环境因素/重要环境因素</w:t>
            </w: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tabs>
                <w:tab w:val="left" w:pos="1305"/>
              </w:tabs>
              <w:rPr>
                <w:rFonts w:hint="default" w:ascii="宋体" w:hAnsi="宋体" w:eastAsia="新宋体"/>
                <w:lang w:val="en-US" w:eastAsia="zh-CN"/>
              </w:rPr>
            </w:pPr>
            <w:r>
              <w:rPr>
                <w:rFonts w:hint="eastAsia" w:ascii="宋体" w:hAnsi="宋体"/>
                <w:lang w:val="en-US" w:eastAsia="zh-CN"/>
              </w:rPr>
              <w:t>提供办公场所及分场所（杭州师范大学附属医院）的环境因素识别，共识别43项可能涉及的环境因素； 列为重要环境因素有</w:t>
            </w:r>
            <w:r>
              <w:rPr>
                <w:rFonts w:hint="eastAsia" w:ascii="宋体" w:hAnsi="宋体" w:cs="Times New Roman"/>
                <w:lang w:val="en-US" w:eastAsia="zh-CN"/>
              </w:rPr>
              <w:t xml:space="preserve">3项：危废（墨盒、硒鼓、灯管）排放、火灾发生预防和能源、资源的消耗；保安服务过程，环境因素识别及重要环境因素基本无遗漏。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default" w:cs="Times New Roman"/>
                <w:kern w:val="2"/>
                <w:sz w:val="21"/>
                <w:lang w:val="en-US" w:eastAsia="zh-CN" w:bidi="ar-SA"/>
              </w:rPr>
            </w:pPr>
            <w:r>
              <w:rPr>
                <w:rFonts w:hint="eastAsia" w:cs="Times New Roman"/>
                <w:kern w:val="2"/>
                <w:sz w:val="21"/>
                <w:lang w:val="en-US" w:eastAsia="zh-CN" w:bidi="ar-SA"/>
              </w:rPr>
              <w:t>危险源/不可接受风险</w:t>
            </w: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tabs>
                <w:tab w:val="left" w:pos="1305"/>
              </w:tabs>
              <w:rPr>
                <w:rFonts w:hint="default" w:ascii="宋体" w:hAnsi="宋体" w:eastAsia="宋体" w:cs="Times New Roman"/>
                <w:lang w:val="en-US" w:eastAsia="zh-CN"/>
              </w:rPr>
            </w:pPr>
            <w:r>
              <w:rPr>
                <w:rFonts w:hint="eastAsia" w:ascii="宋体" w:hAnsi="宋体" w:cs="Times New Roman"/>
                <w:lang w:val="en-US" w:eastAsia="zh-CN"/>
              </w:rPr>
              <w:t>提供危险源风险识别、评价、策划表，共列入了30项危险源，列入不可接受风险为2项：</w:t>
            </w:r>
            <w:r>
              <w:rPr>
                <w:rFonts w:hint="eastAsia" w:ascii="宋体" w:hAnsi="宋体"/>
                <w:szCs w:val="21"/>
              </w:rPr>
              <w:t>抽烟、焚烧、电线短路等火源</w:t>
            </w:r>
            <w:r>
              <w:rPr>
                <w:rFonts w:hint="eastAsia" w:ascii="宋体" w:hAnsi="宋体"/>
                <w:szCs w:val="21"/>
                <w:lang w:val="en-US" w:eastAsia="zh-CN"/>
              </w:rPr>
              <w:t>和</w:t>
            </w:r>
            <w:r>
              <w:rPr>
                <w:rFonts w:hint="eastAsia" w:ascii="宋体" w:hAnsi="宋体"/>
                <w:szCs w:val="21"/>
              </w:rPr>
              <w:t>人为治安、盗窃、暴力伤害</w:t>
            </w:r>
            <w:r>
              <w:rPr>
                <w:rFonts w:hint="eastAsia" w:ascii="宋体" w:hAnsi="宋体"/>
                <w:szCs w:val="21"/>
                <w:lang w:eastAsia="zh-CN"/>
              </w:rPr>
              <w:t>；</w:t>
            </w:r>
            <w:r>
              <w:rPr>
                <w:rFonts w:hint="eastAsia" w:ascii="宋体" w:hAnsi="宋体"/>
                <w:szCs w:val="21"/>
                <w:lang w:val="en-US" w:eastAsia="zh-CN"/>
              </w:rPr>
              <w:t xml:space="preserve"> </w:t>
            </w:r>
          </w:p>
          <w:p>
            <w:pPr>
              <w:tabs>
                <w:tab w:val="left" w:pos="1305"/>
              </w:tabs>
              <w:rPr>
                <w:rFonts w:hint="default" w:ascii="宋体" w:hAnsi="宋体" w:cs="Times New Roman"/>
                <w:lang w:val="en-US" w:eastAsia="zh-CN"/>
              </w:rPr>
            </w:pP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default" w:cs="Times New Roman"/>
                <w:kern w:val="2"/>
                <w:sz w:val="21"/>
                <w:lang w:val="en-US" w:eastAsia="zh-CN" w:bidi="ar-SA"/>
              </w:rPr>
            </w:pPr>
            <w:r>
              <w:rPr>
                <w:rFonts w:hint="eastAsia" w:cs="Times New Roman"/>
                <w:kern w:val="2"/>
                <w:sz w:val="21"/>
                <w:lang w:val="en-US" w:eastAsia="zh-CN" w:bidi="ar-SA"/>
              </w:rPr>
              <w:t>措施策划</w:t>
            </w: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tabs>
                <w:tab w:val="left" w:pos="1305"/>
              </w:tabs>
              <w:rPr>
                <w:rFonts w:hint="default" w:ascii="宋体" w:hAnsi="宋体" w:cs="Times New Roman"/>
                <w:lang w:val="en-US" w:eastAsia="zh-CN"/>
              </w:rPr>
            </w:pPr>
            <w:r>
              <w:rPr>
                <w:rFonts w:hint="eastAsia" w:ascii="宋体" w:hAnsi="宋体" w:cs="Times New Roman"/>
                <w:lang w:val="en-US" w:eastAsia="zh-CN"/>
              </w:rPr>
              <w:t xml:space="preserve">制定环境及职业健康管理的措施管理制度：03固体废物管理规定； 04能源资源管理规定； 05消防设施管理规定等；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szCs w:val="21"/>
              </w:rPr>
              <w:t>相关法律法规及其它要求的遵守情况</w:t>
            </w: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rPr>
              <w:sym w:font="Wingdings 2" w:char="0052"/>
            </w:r>
            <w:r>
              <w:rPr>
                <w:rFonts w:hint="eastAsia" w:ascii="宋体" w:hAnsi="宋体"/>
                <w:color w:val="000000"/>
                <w:szCs w:val="21"/>
              </w:rPr>
              <w:t>组织的</w:t>
            </w:r>
            <w:r>
              <w:rPr>
                <w:rFonts w:hint="eastAsia" w:ascii="宋体" w:hAnsi="宋体"/>
                <w:color w:val="000000"/>
              </w:rPr>
              <w:t>营业执照；</w:t>
            </w:r>
            <w:r>
              <w:rPr>
                <w:rFonts w:hint="eastAsia" w:ascii="宋体" w:hAnsi="宋体"/>
              </w:rPr>
              <w:sym w:font="Wingdings 2" w:char="00A3"/>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sym w:font="Wingdings 2" w:char="00A3"/>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A3"/>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sym w:font="Wingdings 2" w:char="0052"/>
            </w:r>
            <w:r>
              <w:rPr>
                <w:rFonts w:hint="eastAsia" w:ascii="宋体" w:hAnsi="宋体"/>
              </w:rPr>
              <w:t>其他</w:t>
            </w:r>
            <w:r>
              <w:rPr>
                <w:rFonts w:ascii="宋体" w:hAnsi="宋体"/>
                <w:u w:val="single"/>
              </w:rPr>
              <w:t xml:space="preserve">  </w:t>
            </w:r>
            <w:r>
              <w:rPr>
                <w:rFonts w:hint="eastAsia" w:ascii="宋体" w:hAnsi="宋体"/>
                <w:u w:val="single"/>
                <w:lang w:val="en-US" w:eastAsia="zh-CN"/>
              </w:rPr>
              <w:t xml:space="preserve">保安服务许可证，编号：浙公保服 20170561号，服务范围：门卫、巡逻、守护、随身护卫； </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说明：</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Q7.5</w:t>
            </w:r>
          </w:p>
        </w:tc>
        <w:tc>
          <w:tcPr>
            <w:tcW w:w="0" w:type="auto"/>
            <w:vAlign w:val="top"/>
          </w:tcPr>
          <w:p>
            <w:pPr>
              <w:adjustRightInd w:val="0"/>
              <w:spacing w:line="360" w:lineRule="auto"/>
              <w:jc w:val="left"/>
              <w:rPr>
                <w:rFonts w:hint="eastAsia" w:ascii="宋体" w:hAnsi="宋体" w:eastAsia="宋体" w:cs="Times New Roman"/>
                <w:kern w:val="2"/>
                <w:sz w:val="21"/>
                <w:szCs w:val="21"/>
                <w:highlight w:val="yellow"/>
                <w:lang w:val="en-US" w:eastAsia="zh-CN" w:bidi="ar-SA"/>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u w:val="single"/>
              </w:rPr>
              <w:t>中华人民共和国</w:t>
            </w:r>
            <w:r>
              <w:rPr>
                <w:rFonts w:hint="eastAsia" w:ascii="宋体" w:hAnsi="宋体"/>
                <w:szCs w:val="24"/>
                <w:highlight w:val="none"/>
                <w:u w:val="single"/>
                <w:lang w:val="en-US" w:eastAsia="zh-CN"/>
              </w:rPr>
              <w:t>民</w:t>
            </w:r>
            <w:r>
              <w:rPr>
                <w:rFonts w:hint="eastAsia" w:ascii="宋体" w:hAnsi="宋体"/>
                <w:szCs w:val="24"/>
                <w:highlight w:val="none"/>
                <w:u w:val="single"/>
              </w:rPr>
              <w:t>法</w:t>
            </w:r>
            <w:r>
              <w:rPr>
                <w:rFonts w:hint="eastAsia" w:ascii="宋体" w:hAnsi="宋体"/>
                <w:szCs w:val="24"/>
                <w:highlight w:val="none"/>
                <w:u w:val="single"/>
                <w:lang w:val="en-US" w:eastAsia="zh-CN"/>
              </w:rPr>
              <w:t>典</w:t>
            </w:r>
            <w:r>
              <w:rPr>
                <w:rFonts w:hint="eastAsia" w:ascii="宋体" w:hAnsi="宋体"/>
                <w:szCs w:val="24"/>
                <w:highlight w:val="none"/>
                <w:u w:val="single"/>
              </w:rPr>
              <w:t>、中华人民共和国消防法（2009）、中华人民共和国环境影响评价法（2016）等未收集最新修订版本</w:t>
            </w:r>
            <w:r>
              <w:rPr>
                <w:rFonts w:hint="eastAsia" w:ascii="宋体" w:hAnsi="宋体" w:cs="Times New Roman"/>
                <w:szCs w:val="24"/>
                <w:highlight w:val="none"/>
                <w:u w:val="single"/>
              </w:rPr>
              <w:t xml:space="preserve">。 </w:t>
            </w:r>
            <w:r>
              <w:rPr>
                <w:rFonts w:hint="eastAsia" w:ascii="宋体" w:hAnsi="宋体" w:cs="Times New Roman"/>
                <w:szCs w:val="24"/>
                <w:highlight w:val="none"/>
                <w:u w:val="single"/>
                <w:lang w:val="en-US" w:eastAsia="zh-CN"/>
              </w:rPr>
              <w:t>《浙江省保安服务管理条例》、《浙江省违反&lt;保安服务管理条例&gt;行政处罚标准》</w:t>
            </w:r>
            <w:r>
              <w:rPr>
                <w:rFonts w:hint="eastAsia" w:ascii="宋体" w:hAnsi="宋体" w:cs="Times New Roman"/>
                <w:szCs w:val="24"/>
                <w:highlight w:val="none"/>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eastAsia="宋体" w:cs="Times New Roman"/>
                <w:kern w:val="2"/>
                <w:sz w:val="21"/>
                <w:szCs w:val="21"/>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法律法规</w:t>
            </w:r>
          </w:p>
        </w:tc>
        <w:tc>
          <w:tcPr>
            <w:tcW w:w="0" w:type="auto"/>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EO6.1.3</w:t>
            </w:r>
          </w:p>
        </w:tc>
        <w:tc>
          <w:tcPr>
            <w:tcW w:w="0" w:type="auto"/>
            <w:vAlign w:val="top"/>
          </w:tcPr>
          <w:p>
            <w:pPr>
              <w:adjustRightInd w:val="0"/>
              <w:spacing w:line="360" w:lineRule="auto"/>
              <w:jc w:val="left"/>
              <w:rPr>
                <w:rFonts w:hint="default" w:ascii="宋体" w:hAnsi="宋体" w:eastAsia="宋体"/>
                <w:szCs w:val="21"/>
                <w:lang w:val="en-US" w:eastAsia="zh-CN"/>
              </w:rPr>
            </w:pPr>
            <w:r>
              <w:rPr>
                <w:rFonts w:hint="eastAsia" w:ascii="宋体" w:hAnsi="宋体"/>
                <w:szCs w:val="21"/>
                <w:lang w:val="en-US" w:eastAsia="zh-CN"/>
              </w:rPr>
              <w:t>提</w:t>
            </w:r>
            <w:r>
              <w:rPr>
                <w:rFonts w:hint="eastAsia" w:ascii="宋体" w:hAnsi="宋体" w:cs="Times New Roman"/>
                <w:szCs w:val="21"/>
                <w:lang w:val="en-US" w:eastAsia="zh-CN"/>
              </w:rPr>
              <w:t>供法律法规及其他要求清单，共列入37项适用法规； 经评价识别适用部分。</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szCs w:val="21"/>
              </w:rPr>
              <w:t>运行控制和关键绩效：</w:t>
            </w:r>
          </w:p>
        </w:tc>
        <w:tc>
          <w:tcPr>
            <w:tcW w:w="0" w:type="auto"/>
            <w:vAlign w:val="top"/>
          </w:tcPr>
          <w:p>
            <w:pPr>
              <w:rPr>
                <w:rFonts w:ascii="Times New Roman" w:hAnsi="Times New Roman" w:eastAsia="宋体" w:cs="Times New Roman"/>
                <w:kern w:val="2"/>
                <w:sz w:val="21"/>
                <w:lang w:val="en-US" w:eastAsia="zh-CN" w:bidi="ar-SA"/>
              </w:rPr>
            </w:pPr>
            <w:r>
              <w:rPr>
                <w:rFonts w:hint="eastAsia"/>
              </w:rPr>
              <w:t>8.1</w:t>
            </w:r>
          </w:p>
        </w:tc>
        <w:tc>
          <w:tcPr>
            <w:tcW w:w="0" w:type="auto"/>
            <w:vAlign w:val="top"/>
          </w:tcPr>
          <w:p>
            <w:pPr>
              <w:adjustRightInd w:val="0"/>
              <w:spacing w:line="360" w:lineRule="auto"/>
              <w:jc w:val="left"/>
              <w:rPr>
                <w:rFonts w:ascii="宋体" w:hAnsi="Times New Roman" w:cs="Times New Roman"/>
                <w:szCs w:val="22"/>
                <w:u w:val="single"/>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Times New Roman" w:cs="Times New Roman"/>
                <w:szCs w:val="22"/>
                <w:u w:val="single"/>
                <w:lang w:val="en-US" w:eastAsia="zh-CN"/>
              </w:rPr>
              <w:t>《浙江省保安服务管理条例》、《浙江省违反&lt;保安服务管理条例&gt;行政处罚标准》</w:t>
            </w:r>
            <w:r>
              <w:rPr>
                <w:rFonts w:ascii="宋体" w:hAnsi="Times New Roman" w:cs="Times New Roman"/>
                <w:szCs w:val="22"/>
                <w:u w:val="single"/>
              </w:rPr>
              <w:t xml:space="preserve">  </w:t>
            </w:r>
          </w:p>
          <w:p>
            <w:pPr>
              <w:adjustRightInd w:val="0"/>
              <w:spacing w:line="360" w:lineRule="auto"/>
              <w:jc w:val="left"/>
              <w:rPr>
                <w:rFonts w:ascii="宋体" w:hAnsi="宋体"/>
                <w:color w:val="4F81BD"/>
                <w:szCs w:val="21"/>
              </w:rPr>
            </w:pPr>
            <w:r>
              <w:rPr>
                <w:rFonts w:hint="eastAsia" w:ascii="宋体" w:hAnsi="宋体"/>
              </w:rPr>
              <w:t xml:space="preserve"> </w:t>
            </w:r>
            <w:r>
              <w:rPr>
                <w:rFonts w:hint="eastAsia" w:ascii="宋体" w:hAnsi="宋体"/>
                <w:lang w:val="en-US" w:eastAsia="zh-CN"/>
              </w:rPr>
              <w:t xml:space="preserve"> </w:t>
            </w:r>
            <w:r>
              <w:rPr>
                <w:rFonts w:hint="eastAsia" w:ascii="宋体" w:hAnsi="宋体"/>
                <w:color w:val="4F81BD"/>
                <w:szCs w:val="21"/>
              </w:rPr>
              <w:t>顾客满意情况或相关方的反馈：</w:t>
            </w:r>
          </w:p>
          <w:p>
            <w:pPr>
              <w:adjustRightInd w:val="0"/>
              <w:spacing w:line="360" w:lineRule="auto"/>
              <w:jc w:val="left"/>
              <w:rPr>
                <w:rFonts w:ascii="宋体" w:hAnsi="宋体" w:eastAsia="宋体" w:cs="Times New Roman"/>
                <w:kern w:val="2"/>
                <w:sz w:val="21"/>
                <w:szCs w:val="21"/>
                <w:lang w:val="en-US" w:eastAsia="zh-CN" w:bidi="ar-SA"/>
              </w:rPr>
            </w:pPr>
            <w:r>
              <w:rPr>
                <w:rFonts w:hint="eastAsia" w:ascii="宋体" w:hAnsi="宋体"/>
                <w:b/>
                <w:szCs w:val="21"/>
              </w:rPr>
              <w:t xml:space="preserve">       能满足顾客的要求，顾客反应良好，质量较好。</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tc>
        <w:tc>
          <w:tcPr>
            <w:tcW w:w="0" w:type="auto"/>
            <w:vAlign w:val="top"/>
          </w:tcPr>
          <w:p>
            <w:pPr>
              <w:rPr>
                <w:rFonts w:ascii="Times New Roman" w:hAnsi="Times New Roman" w:eastAsia="宋体" w:cs="Times New Roman"/>
                <w:kern w:val="2"/>
                <w:sz w:val="21"/>
                <w:lang w:val="en-US" w:eastAsia="zh-CN" w:bidi="ar-SA"/>
              </w:rPr>
            </w:pPr>
            <w:r>
              <w:rPr>
                <w:rFonts w:hint="eastAsia"/>
              </w:rPr>
              <w:t>5.2/6.1/6.2</w:t>
            </w:r>
          </w:p>
        </w:tc>
        <w:tc>
          <w:tcPr>
            <w:tcW w:w="0" w:type="auto"/>
            <w:vAlign w:val="top"/>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bCs/>
                <w:szCs w:val="21"/>
              </w:rPr>
              <w:t>组织内部审核策划和实施情况</w:t>
            </w:r>
          </w:p>
        </w:tc>
        <w:tc>
          <w:tcPr>
            <w:tcW w:w="0" w:type="auto"/>
            <w:vAlign w:val="top"/>
          </w:tcPr>
          <w:p>
            <w:pPr>
              <w:rPr>
                <w:rFonts w:ascii="Times New Roman" w:hAnsi="Times New Roman" w:eastAsia="宋体" w:cs="Times New Roman"/>
                <w:kern w:val="2"/>
                <w:sz w:val="21"/>
                <w:lang w:val="en-US" w:eastAsia="zh-CN" w:bidi="ar-SA"/>
              </w:rPr>
            </w:pPr>
            <w:r>
              <w:rPr>
                <w:rFonts w:hint="eastAsia"/>
              </w:rPr>
              <w:t>9.2</w:t>
            </w:r>
          </w:p>
        </w:tc>
        <w:tc>
          <w:tcPr>
            <w:tcW w:w="0" w:type="auto"/>
            <w:vAlign w:val="top"/>
          </w:tcPr>
          <w:p>
            <w:pPr>
              <w:pStyle w:val="14"/>
              <w:numPr>
                <w:ilvl w:val="0"/>
                <w:numId w:val="2"/>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7</w:t>
            </w:r>
            <w:r>
              <w:rPr>
                <w:rFonts w:hint="eastAsia" w:ascii="宋体" w:hAnsi="宋体"/>
                <w:u w:val="single"/>
              </w:rPr>
              <w:t>　</w:t>
            </w:r>
            <w:r>
              <w:rPr>
                <w:rFonts w:hint="eastAsia" w:ascii="宋体" w:hAnsi="宋体"/>
              </w:rPr>
              <w:t>月</w:t>
            </w:r>
            <w:r>
              <w:rPr>
                <w:rFonts w:hint="eastAsia" w:ascii="宋体" w:hAnsi="宋体"/>
                <w:u w:val="single"/>
                <w:lang w:val="en-US" w:eastAsia="zh-CN"/>
              </w:rPr>
              <w:t>12</w:t>
            </w:r>
            <w:r>
              <w:rPr>
                <w:rFonts w:hint="eastAsia" w:ascii="宋体" w:hAnsi="宋体"/>
              </w:rPr>
              <w:t>日至</w:t>
            </w:r>
            <w:r>
              <w:rPr>
                <w:rFonts w:hint="eastAsia" w:ascii="宋体" w:hAnsi="宋体"/>
                <w:u w:val="single"/>
              </w:rPr>
              <w:t>20</w:t>
            </w:r>
            <w:r>
              <w:rPr>
                <w:rFonts w:hint="eastAsia" w:ascii="宋体" w:hAnsi="宋体"/>
                <w:u w:val="single"/>
                <w:lang w:val="en-US" w:eastAsia="zh-CN"/>
              </w:rPr>
              <w:t>21</w:t>
            </w:r>
            <w:r>
              <w:rPr>
                <w:rFonts w:hint="eastAsia" w:ascii="宋体" w:hAnsi="宋体"/>
              </w:rPr>
              <w:t>年</w:t>
            </w:r>
            <w:r>
              <w:rPr>
                <w:rFonts w:hint="eastAsia" w:ascii="宋体" w:hAnsi="宋体"/>
                <w:u w:val="single"/>
                <w:lang w:val="en-US" w:eastAsia="zh-CN"/>
              </w:rPr>
              <w:t>7</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13</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lang w:val="en-US" w:eastAsia="zh-CN"/>
              </w:rPr>
              <w:t xml:space="preserve">    </w:t>
            </w:r>
            <w:r>
              <w:rPr>
                <w:rFonts w:hint="eastAsia"/>
                <w:lang w:eastAsia="zh-CN"/>
              </w:rPr>
              <w:t>；</w:t>
            </w:r>
            <w:r>
              <w:rPr>
                <w:rFonts w:hint="eastAsia"/>
                <w:lang w:val="en-US" w:eastAsia="zh-CN"/>
              </w:rPr>
              <w:t xml:space="preserve"> </w:t>
            </w: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rFonts w:ascii="宋体"/>
              </w:rPr>
            </w:pPr>
            <w:r>
              <w:rPr>
                <w:rFonts w:hint="eastAsia"/>
              </w:rPr>
              <w:t>时间分配：</w:t>
            </w:r>
            <w:r>
              <w:rPr>
                <w:rFonts w:hint="eastAsia" w:ascii="宋体" w:hAnsi="宋体"/>
                <w:szCs w:val="21"/>
              </w:rPr>
              <w:t>■</w:t>
            </w:r>
            <w:r>
              <w:rPr>
                <w:rFonts w:hint="eastAsia"/>
              </w:rPr>
              <w:t>合理</w:t>
            </w:r>
            <w:r>
              <w:t xml:space="preserve">  </w:t>
            </w:r>
            <w:r>
              <w:rPr>
                <w:rFonts w:hint="eastAsia"/>
              </w:rPr>
              <w:sym w:font="Wingdings 2" w:char="00A3"/>
            </w:r>
            <w:r>
              <w:rPr>
                <w:rFonts w:hint="eastAsia"/>
              </w:rPr>
              <w:t>不合理：内审组人员分工：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eastAsia="宋体" w:cs="Times New Roman"/>
                <w:kern w:val="2"/>
                <w:sz w:val="21"/>
                <w:szCs w:val="21"/>
                <w:lang w:val="en-US" w:eastAsia="zh-CN" w:bidi="ar-SA"/>
              </w:rPr>
            </w:pPr>
            <w:r>
              <w:rPr>
                <w:rFonts w:hint="eastAsia" w:ascii="宋体" w:hAnsi="宋体"/>
                <w:u w:val="single"/>
              </w:rPr>
              <w:t>　　公司的管理体系符合标准要求，体系运行有效。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bCs/>
                <w:szCs w:val="21"/>
              </w:rPr>
              <w:t>组织进行管理评审的情况</w:t>
            </w:r>
          </w:p>
        </w:tc>
        <w:tc>
          <w:tcPr>
            <w:tcW w:w="0" w:type="auto"/>
            <w:vAlign w:val="top"/>
          </w:tcPr>
          <w:p>
            <w:pPr>
              <w:rPr>
                <w:rFonts w:ascii="Times New Roman" w:hAnsi="Times New Roman" w:eastAsia="宋体" w:cs="Times New Roman"/>
                <w:kern w:val="2"/>
                <w:sz w:val="21"/>
                <w:lang w:val="en-US" w:eastAsia="zh-CN" w:bidi="ar-SA"/>
              </w:rPr>
            </w:pPr>
            <w:r>
              <w:rPr>
                <w:rFonts w:hint="eastAsia"/>
              </w:rPr>
              <w:t>9.3</w:t>
            </w:r>
          </w:p>
        </w:tc>
        <w:tc>
          <w:tcPr>
            <w:tcW w:w="0" w:type="auto"/>
            <w:vAlign w:val="top"/>
          </w:tcPr>
          <w:p>
            <w:pPr>
              <w:numPr>
                <w:ilvl w:val="0"/>
                <w:numId w:val="3"/>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3"/>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21</w:t>
            </w:r>
            <w:r>
              <w:rPr>
                <w:rFonts w:hint="eastAsia" w:ascii="宋体" w:hAnsi="宋体"/>
              </w:rPr>
              <w:t>年</w:t>
            </w:r>
            <w:r>
              <w:rPr>
                <w:rFonts w:hint="eastAsia" w:ascii="宋体" w:hAnsi="宋体"/>
                <w:u w:val="single"/>
                <w:lang w:val="en-US" w:eastAsia="zh-CN"/>
              </w:rPr>
              <w:t>7</w:t>
            </w:r>
            <w:r>
              <w:rPr>
                <w:rFonts w:hint="eastAsia" w:ascii="宋体" w:hAnsi="宋体"/>
              </w:rPr>
              <w:t>月</w:t>
            </w:r>
            <w:r>
              <w:rPr>
                <w:rFonts w:hint="eastAsia" w:ascii="宋体" w:hAnsi="宋体"/>
                <w:u w:val="single"/>
                <w:lang w:val="en-US" w:eastAsia="zh-CN"/>
              </w:rPr>
              <w:t>21</w:t>
            </w:r>
            <w:r>
              <w:rPr>
                <w:rFonts w:hint="eastAsia" w:ascii="宋体" w:hAnsi="宋体"/>
              </w:rPr>
              <w:t>日实施，由最高管理者：</w:t>
            </w:r>
            <w:r>
              <w:rPr>
                <w:rFonts w:hint="eastAsia" w:ascii="宋体" w:hAnsi="宋体"/>
                <w:lang w:val="en-US" w:eastAsia="zh-CN"/>
              </w:rPr>
              <w:t>高为为</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4"/>
              <w:spacing w:after="0" w:line="360" w:lineRule="auto"/>
              <w:ind w:left="0" w:leftChars="0"/>
              <w:rPr>
                <w:rFonts w:ascii="宋体" w:hAnsi="宋体" w:eastAsia="宋体" w:cs="Times New Roman"/>
                <w:kern w:val="2"/>
                <w:sz w:val="21"/>
                <w:szCs w:val="21"/>
                <w:lang w:val="en-US" w:eastAsia="zh-CN" w:bidi="ar-SA"/>
              </w:rPr>
            </w:pPr>
            <w:r>
              <w:rPr>
                <w:rFonts w:ascii="宋体" w:hAnsi="宋体"/>
              </w:rPr>
              <w:t>3</w:t>
            </w:r>
            <w:r>
              <w:rPr>
                <w:rFonts w:hint="eastAsia" w:ascii="宋体" w:hAnsi="宋体"/>
              </w:rPr>
              <w:t>、管理评审报告对</w:t>
            </w:r>
            <w:r>
              <w:rPr>
                <w:rFonts w:hint="eastAsia"/>
              </w:rPr>
              <w:sym w:font="Wingdings 2" w:char="00A3"/>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szCs w:val="22"/>
                <w:u w:val="single"/>
                <w:lang w:val="en-US" w:eastAsia="zh-CN"/>
              </w:rPr>
              <w:t>质量、</w:t>
            </w:r>
            <w:r>
              <w:rPr>
                <w:rFonts w:hint="eastAsia" w:ascii="宋体" w:hAnsi="宋体"/>
                <w:szCs w:val="22"/>
                <w:u w:val="single"/>
              </w:rPr>
              <w:t>环境</w:t>
            </w:r>
            <w:r>
              <w:rPr>
                <w:rFonts w:ascii="宋体" w:hAnsi="宋体"/>
                <w:szCs w:val="22"/>
                <w:u w:val="single"/>
              </w:rPr>
              <w:t>职</w:t>
            </w:r>
            <w:r>
              <w:rPr>
                <w:rFonts w:ascii="宋体" w:hAnsi="宋体"/>
                <w:u w:val="single"/>
              </w:rPr>
              <w:t>业健康</w:t>
            </w:r>
            <w:r>
              <w:rPr>
                <w:rFonts w:hint="eastAsia" w:ascii="宋体" w:hAnsi="宋体"/>
                <w:u w:val="single"/>
              </w:rPr>
              <w:t>安全管理体系运行是有效的，资源提供是充分的，方针目标是适宜的。</w:t>
            </w:r>
          </w:p>
        </w:tc>
        <w:tc>
          <w:tcPr>
            <w:tcW w:w="0" w:type="auto"/>
            <w:vAlign w:val="top"/>
          </w:tcPr>
          <w:p>
            <w:pPr>
              <w:rPr>
                <w:rFonts w:ascii="Times New Roman" w:hAnsi="Times New Roman" w:eastAsia="宋体" w:cs="Times New Roman"/>
                <w:kern w:val="2"/>
                <w:sz w:val="21"/>
                <w:lang w:val="en-US" w:eastAsia="zh-CN" w:bidi="ar-SA"/>
              </w:rPr>
            </w:pPr>
          </w:p>
        </w:tc>
      </w:tr>
    </w:tbl>
    <w:p>
      <w:r>
        <w:ptab w:relativeTo="margin" w:alignment="center" w:leader="none"/>
      </w:r>
    </w:p>
    <w:p/>
    <w:p>
      <w:pPr>
        <w:pStyle w:val="6"/>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9F02D1B"/>
    <w:multiLevelType w:val="multilevel"/>
    <w:tmpl w:val="59F02D1B"/>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0E91"/>
    <w:rsid w:val="0DA5392B"/>
    <w:rsid w:val="3E160469"/>
    <w:rsid w:val="522211FB"/>
    <w:rsid w:val="6E902403"/>
    <w:rsid w:val="7DA756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paragraph" w:styleId="3">
    <w:name w:val="heading 2"/>
    <w:basedOn w:val="1"/>
    <w:next w:val="1"/>
    <w:qFormat/>
    <w:uiPriority w:val="0"/>
    <w:pPr>
      <w:keepNext/>
      <w:keepLines/>
      <w:numPr>
        <w:ilvl w:val="0"/>
        <w:numId w:val="1"/>
      </w:numPr>
      <w:adjustRightInd w:val="0"/>
      <w:snapToGrid w:val="0"/>
      <w:spacing w:before="50" w:beforeLines="50" w:after="50" w:afterLines="50" w:line="240" w:lineRule="auto"/>
      <w:ind w:left="0" w:firstLine="0"/>
      <w:jc w:val="left"/>
      <w:outlineLvl w:val="1"/>
    </w:pPr>
    <w:rPr>
      <w:rFonts w:ascii="宋体" w:hAnsi="宋体" w:eastAsia="宋体" w:cs="Times New Roman"/>
      <w:b/>
      <w:bCs/>
      <w:sz w:val="28"/>
      <w:szCs w:val="32"/>
      <w:lang w:val="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2021-08-09T02:22:26Z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3BF348BE85C9450284D006FB46ECCF46</vt:lpwstr>
  </property>
</Properties>
</file>