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浙江杭泰安保服务有限公司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签订保安服务合同——提供安保服务方案——组织保安人员进场——日常服务——日常检查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日常服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务（门卫、巡逻、守护、随身护卫、安全检查）全</w:t>
            </w:r>
            <w:r>
              <w:rPr>
                <w:rFonts w:hint="eastAsia"/>
                <w:b/>
                <w:sz w:val="20"/>
                <w:lang w:val="en-US" w:eastAsia="zh-CN"/>
              </w:rPr>
              <w:t>过程；按项目合同及管理条例要求进行日常检查控制服务提供风险；以及应对紧急事项的演练进行风险控制；日常服务全过程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办公固废（墨盒、硒鼓、灯管）办公室统一收集，由供方回收；排放火灾发生能源、资源的消耗，由办公室组织统一检查；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抽烟、焚烧、电线短路等火源导致的火灾，办公及各服务场所安全检查；人为治安、盗窃、暴力伤害导致的人员伤害、伤亡；现场服务人员配置必要的防护工具、服装等；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《浙江省保安服务管理条例》、《浙江省违反&lt;保安服务管理条例&gt;行政处罚标准》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应红艳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2021-8-7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2021-8-7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E93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2021-08-09T01:27:23Z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A1780DC1D99847DCAEC411BE2805AA53</vt:lpwstr>
  </property>
</Properties>
</file>