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0410-2020-Q-2021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凉山州良圆马铃薯种业有限责任公司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凉山州良圆马铃薯种业有限责任公司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西昌市安宁镇</w:t>
            </w:r>
            <w:bookmarkEnd w:id="6"/>
          </w:p>
        </w:tc>
        <w:tc>
          <w:tcPr>
            <w:tcW w:w="1242" w:type="dxa"/>
            <w:vMerge w:val="restart"/>
            <w:vAlign w:val="center"/>
          </w:tcPr>
          <w:p>
            <w:r>
              <w:rPr>
                <w:rFonts w:hint="eastAsia"/>
              </w:rPr>
              <w:t>邮编</w:t>
            </w:r>
          </w:p>
        </w:tc>
        <w:tc>
          <w:tcPr>
            <w:tcW w:w="1771" w:type="dxa"/>
          </w:tcPr>
          <w:p>
            <w:bookmarkStart w:id="7" w:name="注册邮编"/>
            <w:r>
              <w:t>615013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四川省凉山州西昌市安宁镇机场路133号</w:t>
            </w:r>
            <w:bookmarkEnd w:id="8"/>
          </w:p>
        </w:tc>
        <w:tc>
          <w:tcPr>
            <w:tcW w:w="1242" w:type="dxa"/>
            <w:vMerge w:val="continue"/>
            <w:vAlign w:val="center"/>
          </w:tcPr>
          <w:p/>
        </w:tc>
        <w:tc>
          <w:tcPr>
            <w:tcW w:w="1771" w:type="dxa"/>
          </w:tcPr>
          <w:p>
            <w:bookmarkStart w:id="9" w:name="办公邮编"/>
            <w:r>
              <w:t>615013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郭艳英</w:t>
            </w:r>
            <w:bookmarkEnd w:id="10"/>
          </w:p>
        </w:tc>
        <w:tc>
          <w:tcPr>
            <w:tcW w:w="1313" w:type="dxa"/>
            <w:vAlign w:val="center"/>
          </w:tcPr>
          <w:p>
            <w:r>
              <w:rPr>
                <w:rFonts w:hint="eastAsia"/>
              </w:rPr>
              <w:t>电话.</w:t>
            </w:r>
          </w:p>
        </w:tc>
        <w:tc>
          <w:tcPr>
            <w:tcW w:w="2180" w:type="dxa"/>
            <w:vAlign w:val="center"/>
          </w:tcPr>
          <w:p>
            <w:bookmarkStart w:id="11" w:name="联系人电话"/>
            <w:r>
              <w:t>18981510852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曾洪柱</w:t>
            </w:r>
            <w:bookmarkEnd w:id="13"/>
          </w:p>
        </w:tc>
        <w:tc>
          <w:tcPr>
            <w:tcW w:w="1313" w:type="dxa"/>
            <w:vAlign w:val="center"/>
          </w:tcPr>
          <w:p>
            <w:r>
              <w:rPr>
                <w:rFonts w:hint="eastAsia"/>
              </w:rPr>
              <w:t>管理者代表</w:t>
            </w:r>
          </w:p>
        </w:tc>
        <w:tc>
          <w:tcPr>
            <w:tcW w:w="2180" w:type="dxa"/>
          </w:tcPr>
          <w:p>
            <w:bookmarkStart w:id="14" w:name="管理者代表"/>
            <w:r>
              <w:t>张懋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szCs w:val="21"/>
                <w:lang w:val="en-US" w:eastAsia="zh-CN"/>
              </w:rPr>
              <w:t>引种---试管苗扩繁---试管苗病毒检测--进入网室无土栽培--马铃薯原原种病毒检测--（入库）交付客户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2021年08月09日 上午至2021年08月09日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sym w:font="Wingdings 2" w:char="0052"/>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一</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四川省凉山州西昌市安宁镇机场路133号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 xml:space="preserve">□已与受审核方签订信息安全协议  </w:t>
            </w:r>
            <w:r>
              <w:rPr>
                <w:rFonts w:hint="eastAsia" w:ascii="宋体"/>
                <w:b/>
                <w:color w:val="0000FF"/>
                <w:szCs w:val="21"/>
              </w:rPr>
              <w:sym w:font="Wingdings 2" w:char="0052"/>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□手持设备 </w:t>
            </w:r>
            <w:r>
              <w:rPr>
                <w:rFonts w:hint="eastAsia" w:ascii="宋体"/>
                <w:b/>
                <w:color w:val="0000FF"/>
                <w:szCs w:val="21"/>
              </w:rPr>
              <w:sym w:font="Wingdings 2" w:char="0052"/>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许可范围内的马铃薯的种植和销售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01.01.03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rPr>
              <w:t xml:space="preserve">  </w:t>
            </w:r>
            <w:r>
              <w:rPr>
                <w:rFonts w:hint="eastAsia"/>
                <w:lang w:val="en-US" w:eastAsia="zh-CN"/>
              </w:rPr>
              <w:t>2019年11月18日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 xml:space="preserve">  </w:t>
            </w:r>
            <w:r>
              <w:rPr>
                <w:rFonts w:hint="eastAsia"/>
                <w:lang w:val="en-US" w:eastAsia="zh-CN"/>
              </w:rPr>
              <w:t>2020年8月9日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2023年8月30日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陈光明</w:t>
            </w:r>
          </w:p>
        </w:tc>
        <w:tc>
          <w:tcPr>
            <w:tcW w:w="1089" w:type="dxa"/>
            <w:vAlign w:val="center"/>
          </w:tcPr>
          <w:p>
            <w:r>
              <w:t>组员</w:t>
            </w:r>
          </w:p>
        </w:tc>
        <w:tc>
          <w:tcPr>
            <w:tcW w:w="711" w:type="dxa"/>
            <w:vAlign w:val="center"/>
          </w:tcPr>
          <w:p>
            <w:r>
              <w:t>男</w:t>
            </w:r>
          </w:p>
        </w:tc>
        <w:tc>
          <w:tcPr>
            <w:tcW w:w="3870" w:type="dxa"/>
            <w:vAlign w:val="center"/>
          </w:tcPr>
          <w:p>
            <w:r>
              <w:t>ISC-JSZJ-137</w:t>
            </w:r>
          </w:p>
          <w:p>
            <w:r>
              <w:t>凉山农垦置业集团农业公司</w:t>
            </w:r>
          </w:p>
        </w:tc>
        <w:tc>
          <w:tcPr>
            <w:tcW w:w="2179" w:type="dxa"/>
            <w:vAlign w:val="center"/>
          </w:tcPr>
          <w:p>
            <w:r>
              <w:t>01.01.03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pPr>
        <w:rPr>
          <w:rFonts w:hint="eastAsia"/>
        </w:rPr>
      </w:pPr>
    </w:p>
    <w:p>
      <w:pPr>
        <w:rPr>
          <w:rFonts w:hint="eastAsia"/>
        </w:rPr>
      </w:pP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许可范围内的马铃薯的种植和销售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vAlign w:val="top"/>
          </w:tcPr>
          <w:p>
            <w:r>
              <w:rPr>
                <w:rFonts w:hint="eastAsia"/>
                <w:lang w:eastAsia="zh-CN"/>
              </w:rPr>
              <w:t>■</w:t>
            </w:r>
            <w:r>
              <w:rPr>
                <w:rFonts w:hint="eastAsia"/>
              </w:rPr>
              <w:t>在完成纠正措施后推荐保持认证注册(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267970</wp:posOffset>
                  </wp:positionH>
                  <wp:positionV relativeFrom="paragraph">
                    <wp:posOffset>77470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2021年8月16日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 xml:space="preserve">人员能力 </w:t>
            </w:r>
            <w:r>
              <w:rPr>
                <w:rFonts w:hint="eastAsia"/>
              </w:rPr>
              <w:sym w:font="Wingdings 2" w:char="00A3"/>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w:t>
            </w:r>
            <w:r>
              <w:rPr>
                <w:rFonts w:hint="eastAsia"/>
              </w:rPr>
              <w:sym w:font="Wingdings 2" w:char="0052"/>
            </w:r>
            <w:r>
              <w:rPr>
                <w:rFonts w:hint="eastAsia"/>
              </w:rPr>
              <w:t>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质量第一、降本增效、精益求精、持续改进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仿宋_GB2312"/>
                      <w:sz w:val="24"/>
                      <w:lang w:eastAsia="zh-CN"/>
                    </w:rPr>
                    <w:t>产品交付合格率</w:t>
                  </w:r>
                  <w:r>
                    <w:rPr>
                      <w:rFonts w:hint="eastAsia" w:ascii="宋体" w:hAnsi="宋体" w:cs="仿宋_GB2312"/>
                      <w:sz w:val="24"/>
                    </w:rPr>
                    <w:t>≥95%</w:t>
                  </w:r>
                </w:p>
              </w:tc>
              <w:tc>
                <w:tcPr>
                  <w:tcW w:w="3136" w:type="dxa"/>
                  <w:shd w:val="clear" w:color="auto" w:fill="auto"/>
                  <w:vAlign w:val="center"/>
                </w:tcPr>
                <w:p>
                  <w:pPr>
                    <w:shd w:val="clear" w:color="auto" w:fill="C7DAF1" w:themeFill="text2" w:themeFillTint="32"/>
                    <w:rPr>
                      <w:lang w:val="en-GB"/>
                    </w:rPr>
                  </w:pPr>
                  <w:r>
                    <w:rPr>
                      <w:rFonts w:hint="eastAsia" w:ascii="宋体"/>
                      <w:sz w:val="24"/>
                      <w:lang w:val="en-US" w:eastAsia="zh-CN"/>
                    </w:rPr>
                    <w:t>产品交付合格率数/交付总数</w:t>
                  </w:r>
                  <w:r>
                    <w:rPr>
                      <w:rFonts w:hint="eastAsia" w:ascii="宋体" w:hAnsi="宋体"/>
                      <w:sz w:val="24"/>
                      <w:lang w:eastAsia="zh-CN"/>
                    </w:rPr>
                    <w:t>×100%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仿宋_GB2312"/>
                      <w:sz w:val="24"/>
                      <w:lang w:val="en-US" w:eastAsia="zh-CN"/>
                    </w:rPr>
                    <w:t>产品交付履约率100%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sz w:val="24"/>
                      <w:lang w:val="en-US" w:eastAsia="zh-CN"/>
                    </w:rPr>
                    <w:t>产品交付及时</w:t>
                  </w:r>
                  <w:r>
                    <w:rPr>
                      <w:rFonts w:hint="eastAsia" w:ascii="宋体" w:hAnsi="宋体"/>
                      <w:sz w:val="24"/>
                      <w:lang w:eastAsia="zh-CN"/>
                    </w:rPr>
                    <w:t>数/</w:t>
                  </w:r>
                  <w:r>
                    <w:rPr>
                      <w:rFonts w:hint="eastAsia" w:ascii="宋体"/>
                      <w:sz w:val="24"/>
                      <w:lang w:val="en-US" w:eastAsia="zh-CN"/>
                    </w:rPr>
                    <w:t>交付总</w:t>
                  </w:r>
                  <w:r>
                    <w:rPr>
                      <w:rFonts w:hint="eastAsia" w:ascii="宋体" w:hAnsi="宋体"/>
                      <w:sz w:val="24"/>
                      <w:lang w:eastAsia="zh-CN"/>
                    </w:rPr>
                    <w:t>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r>
                    <w:rPr>
                      <w:rFonts w:hint="eastAsia" w:ascii="宋体" w:hAnsi="宋体" w:cs="仿宋_GB2312"/>
                      <w:sz w:val="24"/>
                    </w:rPr>
                    <w:t>顾客满意度≥95%</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sz w:val="24"/>
                      <w:lang w:eastAsia="zh-CN"/>
                    </w:rPr>
                    <w:t>顾客满意度=∑n1+n2+n3+……+ni/n×100%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7.2万</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接种盘、培养皿、蒸汽灭菌器、网室、收薯机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电子天平</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rPr>
              <w:t>¨</w:t>
            </w:r>
            <w:r>
              <w:rPr>
                <w:rFonts w:hint="eastAsia"/>
              </w:rPr>
              <w:t xml:space="preserve">换岗 </w:t>
            </w:r>
            <w:r>
              <w:rPr>
                <w:rFonts w:hint="eastAsia"/>
                <w:lang w:eastAsia="zh-CN"/>
              </w:rPr>
              <w:t>■</w:t>
            </w:r>
            <w:r>
              <w:rPr>
                <w:rFonts w:hint="eastAsia"/>
              </w:rPr>
              <w:t xml:space="preserve">培训 </w:t>
            </w:r>
            <w:r>
              <w:rPr>
                <w:rFonts w:hint="eastAsia"/>
                <w:lang w:eastAsia="zh-CN"/>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供电智能化管控平台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val="en-US" w:eastAsia="zh-CN"/>
              </w:rPr>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lang w:eastAsia="zh-CN"/>
              </w:rPr>
              <w:t>■</w:t>
            </w:r>
            <w:r>
              <w:rPr>
                <w:rFonts w:hint="eastAsia"/>
              </w:rPr>
              <w:t>其他</w:t>
            </w:r>
            <w:r>
              <w:rPr>
                <w:rFonts w:hint="eastAsia"/>
                <w:lang w:val="en-US" w:eastAsia="zh-CN"/>
              </w:rPr>
              <w:t>检测</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种植过程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已开具不符合项</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rPr>
              <w:t>¨</w:t>
            </w:r>
            <w:r>
              <w:rPr>
                <w:rFonts w:hint="eastAsia"/>
              </w:rPr>
              <w:t xml:space="preserve">维修 </w:t>
            </w:r>
            <w:r>
              <w:rPr>
                <w:rFonts w:hint="eastAsia"/>
                <w:lang w:val="en-US" w:eastAsia="zh-CN"/>
              </w:rPr>
              <w:t xml:space="preserve">  </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7.4</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8.4</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8.6</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2</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2</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2</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2</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10.3</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40A5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2021-08-15T09:57:31Z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