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0741-2021-QJEO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湖北鸿远盛世水利水电工程有限公司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883"/>
        <w:gridCol w:w="618"/>
        <w:gridCol w:w="840"/>
        <w:gridCol w:w="12"/>
        <w:gridCol w:w="851"/>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8"/>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gridSpan w:val="2"/>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3"/>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1790" w:type="dxa"/>
            <w:gridSpan w:val="2"/>
            <w:vAlign w:val="center"/>
          </w:tcPr>
          <w:p>
            <w:pPr>
              <w:spacing w:line="240" w:lineRule="exact"/>
              <w:jc w:val="center"/>
              <w:rPr>
                <w:b/>
                <w:color w:val="000000"/>
                <w:sz w:val="20"/>
                <w:szCs w:val="20"/>
              </w:rPr>
            </w:pPr>
            <w:r>
              <w:rPr>
                <w:rFonts w:hint="eastAsia"/>
                <w:sz w:val="18"/>
                <w:szCs w:val="18"/>
              </w:rPr>
              <w:t>注册资格</w:t>
            </w:r>
          </w:p>
        </w:tc>
        <w:tc>
          <w:tcPr>
            <w:tcW w:w="3791" w:type="dxa"/>
            <w:gridSpan w:val="5"/>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李凤仪</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1790" w:type="dxa"/>
            <w:gridSpan w:val="2"/>
            <w:vAlign w:val="center"/>
          </w:tcPr>
          <w:p>
            <w:pPr>
              <w:spacing w:line="240" w:lineRule="exact"/>
              <w:jc w:val="center"/>
              <w:rPr>
                <w:b/>
                <w:color w:val="000000"/>
                <w:sz w:val="20"/>
                <w:szCs w:val="20"/>
              </w:rPr>
            </w:pPr>
            <w:r>
              <w:rPr>
                <w:b/>
                <w:color w:val="000000"/>
                <w:sz w:val="20"/>
                <w:szCs w:val="20"/>
              </w:rPr>
              <w:t>EC:审核员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3791" w:type="dxa"/>
            <w:gridSpan w:val="5"/>
            <w:vAlign w:val="center"/>
          </w:tcPr>
          <w:p>
            <w:pPr>
              <w:spacing w:line="240" w:lineRule="exact"/>
              <w:jc w:val="center"/>
              <w:rPr>
                <w:b/>
                <w:color w:val="000000"/>
                <w:sz w:val="20"/>
                <w:szCs w:val="20"/>
              </w:rPr>
            </w:pPr>
            <w:r>
              <w:rPr>
                <w:b/>
                <w:color w:val="000000"/>
                <w:sz w:val="20"/>
                <w:szCs w:val="20"/>
              </w:rPr>
              <w:t>EC:28.02.00,28.04.01,28.04.02,28.05.01,28.07.03,28.08.01,28.08.02,28.08.03,28.08.04,28.08.05,28.09.02</w:t>
            </w:r>
          </w:p>
          <w:p>
            <w:pPr>
              <w:spacing w:line="240" w:lineRule="exact"/>
              <w:jc w:val="center"/>
              <w:rPr>
                <w:b/>
                <w:color w:val="000000"/>
                <w:sz w:val="20"/>
                <w:szCs w:val="20"/>
              </w:rPr>
            </w:pPr>
            <w:r>
              <w:rPr>
                <w:b/>
                <w:color w:val="000000"/>
                <w:sz w:val="20"/>
                <w:szCs w:val="20"/>
              </w:rPr>
              <w:t>E:28.02.00,28.04.01,28.04.02,28.05.01,28.07.03,28.08.01,28.08.02,28.08.03,28.08.04,28.08.05,28.09.02</w:t>
            </w:r>
          </w:p>
          <w:p>
            <w:pPr>
              <w:spacing w:line="240" w:lineRule="exact"/>
              <w:jc w:val="center"/>
              <w:rPr>
                <w:b/>
                <w:color w:val="000000"/>
                <w:sz w:val="20"/>
                <w:szCs w:val="20"/>
              </w:rPr>
            </w:pPr>
            <w:r>
              <w:rPr>
                <w:b/>
                <w:color w:val="000000"/>
                <w:sz w:val="20"/>
                <w:szCs w:val="20"/>
              </w:rPr>
              <w:t>O:28.02.00,28.04.01,28.04.02,28.05.01,28.07.03,28.08.01,28.08.02,28.08.03,28.08.04,28.08.05,28.09.02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1790" w:type="dxa"/>
            <w:gridSpan w:val="2"/>
            <w:vAlign w:val="center"/>
          </w:tcPr>
          <w:p>
            <w:pPr>
              <w:rPr>
                <w:b/>
                <w:color w:val="000000"/>
                <w:sz w:val="20"/>
                <w:szCs w:val="20"/>
              </w:rPr>
            </w:pPr>
          </w:p>
        </w:tc>
        <w:tc>
          <w:tcPr>
            <w:tcW w:w="3791" w:type="dxa"/>
            <w:gridSpan w:val="5"/>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1790" w:type="dxa"/>
            <w:gridSpan w:val="2"/>
            <w:vAlign w:val="center"/>
          </w:tcPr>
          <w:p>
            <w:pPr>
              <w:rPr>
                <w:b/>
                <w:color w:val="000000"/>
                <w:sz w:val="20"/>
                <w:szCs w:val="20"/>
              </w:rPr>
            </w:pPr>
            <w:r>
              <w:rPr>
                <w:rFonts w:hint="eastAsia"/>
                <w:b/>
                <w:color w:val="000000"/>
                <w:sz w:val="20"/>
                <w:szCs w:val="20"/>
              </w:rPr>
              <w:t>工作单位</w:t>
            </w:r>
          </w:p>
        </w:tc>
        <w:tc>
          <w:tcPr>
            <w:tcW w:w="3791" w:type="dxa"/>
            <w:gridSpan w:val="5"/>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1790" w:type="dxa"/>
            <w:gridSpan w:val="2"/>
            <w:vAlign w:val="center"/>
          </w:tcPr>
          <w:p>
            <w:pPr>
              <w:rPr>
                <w:b/>
                <w:color w:val="000000"/>
              </w:rPr>
            </w:pPr>
          </w:p>
        </w:tc>
        <w:tc>
          <w:tcPr>
            <w:tcW w:w="3791" w:type="dxa"/>
            <w:gridSpan w:val="5"/>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1790" w:type="dxa"/>
            <w:gridSpan w:val="2"/>
            <w:vAlign w:val="center"/>
          </w:tcPr>
          <w:p>
            <w:pPr>
              <w:rPr>
                <w:b/>
                <w:color w:val="000000"/>
              </w:rPr>
            </w:pPr>
          </w:p>
        </w:tc>
        <w:tc>
          <w:tcPr>
            <w:tcW w:w="3791" w:type="dxa"/>
            <w:gridSpan w:val="5"/>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4" w:name="认证领域"/>
      <w:r>
        <w:rPr>
          <w:rFonts w:hint="eastAsia" w:ascii="宋体" w:hAnsi="宋体"/>
          <w:b/>
          <w:color w:val="000000"/>
          <w:sz w:val="20"/>
          <w:szCs w:val="20"/>
        </w:rPr>
        <w:t>质量管理体系,环境管理体系,职业健康安全管理体系</w:t>
      </w:r>
      <w:bookmarkEnd w:id="4"/>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r>
        <w:rPr>
          <w:rFonts w:hint="eastAsia" w:ascii="宋体" w:hAnsi="宋体"/>
          <w:b/>
          <w:color w:val="000000"/>
          <w:sz w:val="20"/>
          <w:szCs w:val="20"/>
          <w:lang w:val="de-DE"/>
        </w:rPr>
        <w:sym w:font="Wingdings 2" w:char="0052"/>
      </w:r>
      <w:r>
        <w:rPr>
          <w:rFonts w:ascii="宋体" w:hAnsi="宋体"/>
          <w:b/>
          <w:color w:val="000000"/>
          <w:sz w:val="20"/>
          <w:szCs w:val="20"/>
          <w:lang w:val="de-DE"/>
        </w:rPr>
        <w:t xml:space="preserve">GB/T19001-2016  </w:t>
      </w:r>
      <w:r>
        <w:rPr>
          <w:rFonts w:hint="eastAsia" w:ascii="宋体" w:hAnsi="宋体"/>
          <w:b/>
          <w:color w:val="000000"/>
          <w:sz w:val="20"/>
          <w:szCs w:val="20"/>
          <w:lang w:val="de-DE"/>
        </w:rPr>
        <w:sym w:font="Wingdings 2" w:char="0052"/>
      </w:r>
      <w:r>
        <w:rPr>
          <w:rFonts w:ascii="宋体" w:hAnsi="宋体"/>
          <w:b/>
          <w:color w:val="000000"/>
          <w:sz w:val="20"/>
          <w:szCs w:val="20"/>
          <w:lang w:val="de-DE"/>
        </w:rPr>
        <w:t>GB/T</w:t>
      </w:r>
      <w:r>
        <w:rPr>
          <w:rFonts w:hint="eastAsia" w:ascii="宋体" w:hAnsi="宋体"/>
          <w:b/>
          <w:color w:val="000000"/>
          <w:sz w:val="20"/>
          <w:szCs w:val="20"/>
          <w:lang w:val="en-US" w:eastAsia="zh-CN"/>
        </w:rPr>
        <w:t>50430</w:t>
      </w:r>
      <w:r>
        <w:rPr>
          <w:rFonts w:ascii="宋体" w:hAnsi="宋体"/>
          <w:b/>
          <w:color w:val="000000"/>
          <w:sz w:val="20"/>
          <w:szCs w:val="20"/>
          <w:lang w:val="de-DE"/>
        </w:rPr>
        <w:t>-201</w:t>
      </w:r>
      <w:r>
        <w:rPr>
          <w:rFonts w:hint="eastAsia" w:ascii="宋体" w:hAnsi="宋体"/>
          <w:b/>
          <w:color w:val="000000"/>
          <w:sz w:val="20"/>
          <w:szCs w:val="20"/>
          <w:lang w:val="en-US" w:eastAsia="zh-CN"/>
        </w:rPr>
        <w:t>7</w:t>
      </w:r>
      <w:r>
        <w:rPr>
          <w:rFonts w:ascii="宋体" w:hAnsi="宋体"/>
          <w:b/>
          <w:color w:val="000000"/>
          <w:sz w:val="20"/>
          <w:szCs w:val="20"/>
          <w:lang w:val="de-DE"/>
        </w:rPr>
        <w:t xml:space="preserve">   </w:t>
      </w:r>
      <w:bookmarkStart w:id="5" w:name="E勾选Add1"/>
      <w:r>
        <w:rPr>
          <w:rFonts w:hint="eastAsia" w:ascii="宋体" w:hAnsi="宋体"/>
          <w:b/>
          <w:color w:val="000000"/>
          <w:sz w:val="20"/>
          <w:szCs w:val="20"/>
          <w:lang w:val="de-DE"/>
        </w:rPr>
        <w:t>■</w:t>
      </w:r>
      <w:bookmarkEnd w:id="5"/>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6" w:name="S勾选Add1"/>
      <w:r>
        <w:rPr>
          <w:rFonts w:hint="eastAsia" w:ascii="宋体" w:hAnsi="宋体"/>
          <w:b/>
          <w:color w:val="000000"/>
          <w:sz w:val="20"/>
          <w:szCs w:val="20"/>
          <w:lang w:val="de-DE"/>
        </w:rPr>
        <w:t>■</w:t>
      </w:r>
      <w:bookmarkEnd w:id="6"/>
      <w:r>
        <w:rPr>
          <w:rFonts w:ascii="宋体" w:hAnsi="宋体"/>
          <w:b/>
          <w:color w:val="000000"/>
          <w:sz w:val="20"/>
          <w:szCs w:val="20"/>
          <w:lang w:val="de-DE"/>
        </w:rPr>
        <w:t>GB/</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ascii="宋体" w:hAnsi="宋体"/>
          <w:b/>
          <w:color w:val="000000"/>
          <w:sz w:val="20"/>
          <w:szCs w:val="20"/>
          <w:lang w:val="de-DE"/>
        </w:rPr>
        <w:t xml:space="preserve"> </w:t>
      </w:r>
      <w:r>
        <w:rPr>
          <w:rFonts w:hint="eastAsia" w:ascii="宋体" w:hAnsi="宋体"/>
          <w:b/>
          <w:color w:val="000000"/>
          <w:sz w:val="20"/>
          <w:szCs w:val="20"/>
        </w:rPr>
        <w:sym w:font="Wingdings 2" w:char="0052"/>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894"/>
        <w:gridCol w:w="1560"/>
        <w:gridCol w:w="2238"/>
        <w:gridCol w:w="957"/>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7" w:name="组织名称Add2"/>
            <w:r>
              <w:rPr>
                <w:rFonts w:ascii="宋体"/>
                <w:b/>
                <w:color w:val="000000"/>
                <w:sz w:val="20"/>
                <w:szCs w:val="20"/>
              </w:rPr>
              <w:t>湖北鸿远盛世水利水电工程有限公司</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8" w:name="注册地址"/>
            <w:r>
              <w:rPr>
                <w:rFonts w:ascii="宋体"/>
                <w:b/>
                <w:color w:val="000000"/>
                <w:sz w:val="20"/>
                <w:szCs w:val="20"/>
              </w:rPr>
              <w:t>武汉东湖新技术开发区光谷大道特1号国际企业中心三期8栋4层07号</w:t>
            </w:r>
            <w:bookmarkEnd w:id="8"/>
          </w:p>
        </w:tc>
        <w:tc>
          <w:tcPr>
            <w:tcW w:w="957"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843" w:type="dxa"/>
          </w:tcPr>
          <w:p>
            <w:pPr>
              <w:spacing w:line="280" w:lineRule="exact"/>
              <w:rPr>
                <w:rFonts w:ascii="宋体"/>
                <w:b/>
                <w:color w:val="000000"/>
                <w:sz w:val="20"/>
                <w:szCs w:val="20"/>
              </w:rPr>
            </w:pPr>
            <w:bookmarkStart w:id="9" w:name="注册邮编"/>
            <w:r>
              <w:rPr>
                <w:rFonts w:ascii="宋体"/>
                <w:b/>
                <w:color w:val="000000"/>
                <w:sz w:val="20"/>
                <w:szCs w:val="20"/>
              </w:rPr>
              <w:t>430090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0" w:name="经营地址"/>
            <w:bookmarkEnd w:id="10"/>
            <w:r>
              <w:rPr>
                <w:rFonts w:hint="eastAsia"/>
                <w:b/>
                <w:bCs/>
                <w:color w:val="auto"/>
              </w:rPr>
              <w:t>湖北省京山市新市镇新阳大道御景北苑小区1幢1单元B02</w:t>
            </w:r>
          </w:p>
        </w:tc>
        <w:tc>
          <w:tcPr>
            <w:tcW w:w="957" w:type="dxa"/>
            <w:vMerge w:val="continue"/>
            <w:vAlign w:val="center"/>
          </w:tcPr>
          <w:p>
            <w:pPr>
              <w:spacing w:line="280" w:lineRule="exact"/>
              <w:jc w:val="center"/>
              <w:rPr>
                <w:rFonts w:ascii="宋体"/>
                <w:b/>
                <w:color w:val="000000"/>
                <w:sz w:val="20"/>
                <w:szCs w:val="20"/>
              </w:rPr>
            </w:pPr>
          </w:p>
        </w:tc>
        <w:tc>
          <w:tcPr>
            <w:tcW w:w="1843" w:type="dxa"/>
          </w:tcPr>
          <w:p>
            <w:pPr>
              <w:spacing w:line="280" w:lineRule="exact"/>
              <w:rPr>
                <w:rFonts w:ascii="宋体"/>
                <w:b/>
                <w:color w:val="000000"/>
                <w:sz w:val="20"/>
                <w:szCs w:val="20"/>
              </w:rPr>
            </w:pPr>
            <w:bookmarkStart w:id="11" w:name="经营邮编"/>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rPr>
                <w:rFonts w:ascii="宋体"/>
                <w:b/>
                <w:color w:val="000000"/>
                <w:sz w:val="20"/>
                <w:szCs w:val="20"/>
              </w:rPr>
            </w:pPr>
            <w:r>
              <w:rPr>
                <w:rFonts w:hint="eastAsia"/>
                <w:b/>
                <w:bCs/>
                <w:color w:val="auto"/>
              </w:rPr>
              <w:t>湖北省京山市新市镇新阳大道御景北苑小区1幢1单元B02</w:t>
            </w:r>
          </w:p>
        </w:tc>
        <w:tc>
          <w:tcPr>
            <w:tcW w:w="957" w:type="dxa"/>
            <w:vMerge w:val="continue"/>
            <w:vAlign w:val="center"/>
          </w:tcPr>
          <w:p>
            <w:pPr>
              <w:spacing w:line="280" w:lineRule="exact"/>
              <w:jc w:val="center"/>
              <w:rPr>
                <w:rFonts w:ascii="宋体"/>
                <w:b/>
                <w:color w:val="000000"/>
                <w:sz w:val="20"/>
                <w:szCs w:val="20"/>
              </w:rPr>
            </w:pPr>
          </w:p>
        </w:tc>
        <w:tc>
          <w:tcPr>
            <w:tcW w:w="1843" w:type="dxa"/>
          </w:tcPr>
          <w:p>
            <w:pPr>
              <w:spacing w:line="280" w:lineRule="exact"/>
              <w:rPr>
                <w:rFonts w:ascii="宋体"/>
                <w:b/>
                <w:color w:val="000000"/>
                <w:sz w:val="20"/>
                <w:szCs w:val="20"/>
              </w:rPr>
            </w:pPr>
            <w:bookmarkStart w:id="12" w:name="生产邮编Add1"/>
            <w:r>
              <w:rPr>
                <w:rFonts w:ascii="宋体"/>
                <w:b/>
                <w:color w:val="000000"/>
                <w:sz w:val="20"/>
                <w:szCs w:val="20"/>
              </w:rPr>
              <w:t>430090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894" w:type="dxa"/>
          </w:tcPr>
          <w:p>
            <w:pPr>
              <w:spacing w:line="280" w:lineRule="exact"/>
              <w:rPr>
                <w:rFonts w:ascii="宋体"/>
                <w:b/>
                <w:color w:val="000000"/>
                <w:sz w:val="20"/>
                <w:szCs w:val="20"/>
              </w:rPr>
            </w:pPr>
            <w:r>
              <w:rPr>
                <w:rFonts w:ascii="宋体"/>
                <w:b/>
                <w:color w:val="000000"/>
                <w:sz w:val="20"/>
                <w:szCs w:val="20"/>
              </w:rPr>
              <w:t>肖  莹</w:t>
            </w:r>
          </w:p>
        </w:tc>
        <w:tc>
          <w:tcPr>
            <w:tcW w:w="1560"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238" w:type="dxa"/>
            <w:vAlign w:val="center"/>
          </w:tcPr>
          <w:p>
            <w:pPr>
              <w:spacing w:line="280" w:lineRule="exact"/>
              <w:jc w:val="center"/>
              <w:rPr>
                <w:rFonts w:hint="default" w:ascii="宋体" w:eastAsia="宋体"/>
                <w:b/>
                <w:color w:val="000000"/>
                <w:sz w:val="20"/>
                <w:szCs w:val="20"/>
                <w:lang w:val="en-US" w:eastAsia="zh-CN"/>
              </w:rPr>
            </w:pPr>
            <w:r>
              <w:rPr>
                <w:rFonts w:hint="eastAsia" w:ascii="宋体"/>
                <w:b/>
                <w:color w:val="000000"/>
                <w:sz w:val="20"/>
                <w:szCs w:val="20"/>
                <w:lang w:val="en-US" w:eastAsia="zh-CN"/>
              </w:rPr>
              <w:t>18671993320</w:t>
            </w:r>
          </w:p>
        </w:tc>
        <w:tc>
          <w:tcPr>
            <w:tcW w:w="957"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843" w:type="dxa"/>
          </w:tcPr>
          <w:p>
            <w:pPr>
              <w:spacing w:line="280" w:lineRule="exact"/>
              <w:rPr>
                <w:rFonts w:ascii="宋体"/>
                <w:b/>
                <w:color w:val="000000"/>
                <w:sz w:val="20"/>
                <w:szCs w:val="20"/>
              </w:rPr>
            </w:pPr>
            <w:bookmarkStart w:id="13" w:name="联系人传真Add1"/>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894" w:type="dxa"/>
          </w:tcPr>
          <w:p>
            <w:pPr>
              <w:rPr>
                <w:rFonts w:ascii="宋体"/>
                <w:b/>
                <w:color w:val="000000"/>
                <w:sz w:val="20"/>
                <w:szCs w:val="20"/>
              </w:rPr>
            </w:pPr>
            <w:bookmarkStart w:id="14" w:name="法人"/>
            <w:r>
              <w:rPr>
                <w:rFonts w:ascii="宋体"/>
                <w:b/>
                <w:color w:val="000000"/>
                <w:sz w:val="20"/>
                <w:szCs w:val="20"/>
              </w:rPr>
              <w:t>屈长安</w:t>
            </w:r>
            <w:bookmarkEnd w:id="14"/>
          </w:p>
        </w:tc>
        <w:tc>
          <w:tcPr>
            <w:tcW w:w="1560"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238" w:type="dxa"/>
          </w:tcPr>
          <w:p>
            <w:pPr>
              <w:rPr>
                <w:rFonts w:ascii="宋体"/>
                <w:b/>
                <w:color w:val="000000"/>
                <w:sz w:val="20"/>
                <w:szCs w:val="20"/>
              </w:rPr>
            </w:pPr>
            <w:bookmarkStart w:id="15" w:name="管理者代表"/>
            <w:r>
              <w:rPr>
                <w:rFonts w:ascii="宋体"/>
                <w:b/>
                <w:color w:val="000000"/>
                <w:sz w:val="20"/>
                <w:szCs w:val="20"/>
              </w:rPr>
              <w:t>肖  莹</w:t>
            </w:r>
            <w:bookmarkEnd w:id="15"/>
          </w:p>
        </w:tc>
        <w:tc>
          <w:tcPr>
            <w:tcW w:w="957" w:type="dxa"/>
          </w:tcPr>
          <w:p>
            <w:pPr>
              <w:jc w:val="center"/>
              <w:rPr>
                <w:rFonts w:ascii="宋体"/>
                <w:b/>
                <w:color w:val="000000"/>
                <w:sz w:val="20"/>
                <w:szCs w:val="20"/>
              </w:rPr>
            </w:pPr>
            <w:r>
              <w:rPr>
                <w:rFonts w:hint="eastAsia" w:ascii="宋体"/>
                <w:b/>
                <w:color w:val="000000"/>
                <w:sz w:val="20"/>
                <w:szCs w:val="20"/>
              </w:rPr>
              <w:t>邮箱</w:t>
            </w:r>
          </w:p>
        </w:tc>
        <w:tc>
          <w:tcPr>
            <w:tcW w:w="1843" w:type="dxa"/>
          </w:tcPr>
          <w:p>
            <w:pPr>
              <w:rPr>
                <w:rFonts w:ascii="宋体"/>
                <w:b/>
                <w:color w:val="000000"/>
                <w:sz w:val="20"/>
                <w:szCs w:val="20"/>
              </w:rPr>
            </w:pPr>
            <w:bookmarkStart w:id="16" w:name="联系人邮箱Add1"/>
            <w:r>
              <w:rPr>
                <w:rFonts w:ascii="宋体"/>
                <w:b/>
                <w:color w:val="000000"/>
                <w:sz w:val="20"/>
                <w:szCs w:val="20"/>
              </w:rPr>
              <w:t>373208296@qq.com</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2020-11-22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17" w:name="审核范围"/>
            <w:r>
              <w:rPr>
                <w:rFonts w:ascii="宋体" w:hAnsi="宋体"/>
                <w:b/>
                <w:color w:val="000000"/>
                <w:sz w:val="20"/>
                <w:szCs w:val="20"/>
              </w:rPr>
              <w:t>EC：建筑工程施工总承包、水利水电工程施工总承包、市政公用工程施工总承包、河湖整治工程专业承包、地基基础工程专业承包、环保工程专业承包、钢结构工程专业承包、防水防腐保温工程专业承包、建筑幕墙工程专业承包、建筑装修装饰工程专业承包</w:t>
            </w:r>
          </w:p>
          <w:p>
            <w:pPr>
              <w:spacing w:line="400" w:lineRule="exact"/>
              <w:rPr>
                <w:rFonts w:ascii="宋体" w:hAnsi="宋体"/>
                <w:b/>
                <w:color w:val="000000"/>
                <w:sz w:val="20"/>
                <w:szCs w:val="20"/>
              </w:rPr>
            </w:pPr>
            <w:r>
              <w:rPr>
                <w:rFonts w:ascii="宋体" w:hAnsi="宋体"/>
                <w:b/>
                <w:color w:val="000000"/>
                <w:sz w:val="20"/>
                <w:szCs w:val="20"/>
              </w:rPr>
              <w:t>E：建筑工程施工总承包、水利水电工程施工总承包、市政公用工程施工总承包、河湖整治工程专业承包、地基基础工程专业承包、环保工程专业承包、钢结构工程专业承包、防水防腐保温工程专业承包、建筑幕墙工程专业承包、建筑装修装饰工程专业承包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建筑工程施工总承包、水利水电工程施工总承包、市政公用工程施工总承包、河湖整治工程专业承包、地基基础工程专业承包、环保工程专业承包、钢结构工程专业承包、防水防腐保温工程专业承包、建筑幕墙工程专业承包、建筑装修装饰工程专业承包所涉及场所的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18" w:name="专业代码"/>
            <w:r>
              <w:rPr>
                <w:rFonts w:ascii="宋体"/>
                <w:b/>
                <w:color w:val="000000"/>
                <w:sz w:val="20"/>
                <w:szCs w:val="20"/>
              </w:rPr>
              <w:t>EC：28.02.00;28.04.01;28.04.02;28.05.01;28.07.03;28.08.01;28.08.02;28.08.03;28.08.04;28.08.05;28.09.02</w:t>
            </w:r>
          </w:p>
          <w:p>
            <w:pPr>
              <w:spacing w:line="280" w:lineRule="exact"/>
              <w:rPr>
                <w:rFonts w:ascii="宋体"/>
                <w:b/>
                <w:color w:val="000000"/>
                <w:sz w:val="20"/>
                <w:szCs w:val="20"/>
              </w:rPr>
            </w:pPr>
            <w:r>
              <w:rPr>
                <w:rFonts w:ascii="宋体"/>
                <w:b/>
                <w:color w:val="000000"/>
                <w:sz w:val="20"/>
                <w:szCs w:val="20"/>
              </w:rPr>
              <w:t>E：28.02.00;28.04.01;28.04.02;28.05.01;28.07.03;28.08.01;28.08.02;28.08.03;28.08.04;28.08.05;28.09.02</w:t>
            </w:r>
          </w:p>
          <w:p>
            <w:pPr>
              <w:spacing w:line="280" w:lineRule="exact"/>
              <w:rPr>
                <w:rFonts w:ascii="宋体"/>
                <w:b/>
                <w:color w:val="000000"/>
                <w:sz w:val="20"/>
                <w:szCs w:val="20"/>
              </w:rPr>
            </w:pPr>
            <w:r>
              <w:rPr>
                <w:rFonts w:ascii="宋体"/>
                <w:b/>
                <w:color w:val="000000"/>
                <w:sz w:val="20"/>
                <w:szCs w:val="20"/>
              </w:rPr>
              <w:t>O：28.02.00;28.04.01;28.04.02;28.05.01;28.07.03;28.08.01;28.08.02;28.08.03;28.08.04;28.08.05;28.09.02</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4"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hint="eastAsia" w:ascii="宋体" w:hAnsi="宋体"/>
          <w:b/>
          <w:color w:val="000000"/>
          <w:sz w:val="20"/>
          <w:szCs w:val="20"/>
          <w:lang w:val="en-US" w:eastAsia="zh-CN"/>
        </w:rPr>
        <w:t>管理层、</w:t>
      </w:r>
      <w:r>
        <w:rPr>
          <w:rFonts w:hint="eastAsia"/>
          <w:b/>
          <w:sz w:val="20"/>
          <w:lang w:val="en-US" w:eastAsia="zh-CN"/>
        </w:rPr>
        <w:t>工程部、经营</w:t>
      </w:r>
      <w:r>
        <w:rPr>
          <w:b/>
          <w:sz w:val="20"/>
        </w:rPr>
        <w:t>部</w:t>
      </w:r>
      <w:r>
        <w:rPr>
          <w:rFonts w:hint="eastAsia"/>
          <w:b/>
          <w:sz w:val="20"/>
          <w:lang w:eastAsia="zh-CN"/>
        </w:rPr>
        <w:t>、</w:t>
      </w:r>
      <w:r>
        <w:rPr>
          <w:rFonts w:hint="eastAsia"/>
          <w:b/>
          <w:sz w:val="20"/>
          <w:lang w:val="en-US" w:eastAsia="zh-CN"/>
        </w:rPr>
        <w:t>办公室等。</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在建项目部施工现场</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A3"/>
            </w: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hint="eastAsia" w:ascii="宋体" w:eastAsia="宋体"/>
                <w:b/>
                <w:color w:val="000000"/>
                <w:sz w:val="20"/>
                <w:szCs w:val="20"/>
                <w:lang w:val="en-US" w:eastAsia="zh-CN"/>
              </w:rPr>
            </w:pPr>
            <w:r>
              <w:rPr>
                <w:rFonts w:hint="eastAsia" w:ascii="宋体" w:hAnsi="宋体"/>
                <w:b/>
                <w:color w:val="000000"/>
                <w:sz w:val="20"/>
                <w:szCs w:val="20"/>
              </w:rPr>
              <w:t>产品：</w:t>
            </w:r>
            <w:r>
              <w:rPr>
                <w:rFonts w:hint="eastAsia" w:ascii="宋体" w:hAnsi="宋体"/>
                <w:b/>
                <w:color w:val="000000"/>
                <w:sz w:val="20"/>
                <w:szCs w:val="20"/>
                <w:lang w:val="en-US" w:eastAsia="zh-CN"/>
              </w:rPr>
              <w:t>无</w:t>
            </w:r>
          </w:p>
          <w:p>
            <w:pPr>
              <w:tabs>
                <w:tab w:val="left" w:pos="360"/>
              </w:tabs>
              <w:ind w:left="360" w:hanging="360"/>
              <w:rPr>
                <w:rFonts w:ascii="宋体"/>
                <w:b/>
                <w:color w:val="000000"/>
                <w:sz w:val="20"/>
                <w:szCs w:val="20"/>
              </w:rPr>
            </w:pPr>
            <w:r>
              <w:rPr>
                <w:rFonts w:hint="eastAsia" w:ascii="宋体" w:hAnsi="宋体"/>
                <w:b/>
                <w:color w:val="000000"/>
                <w:sz w:val="20"/>
                <w:szCs w:val="20"/>
              </w:rPr>
              <w:t>服务：</w:t>
            </w:r>
            <w:r>
              <w:rPr>
                <w:rFonts w:ascii="宋体" w:hAnsi="宋体"/>
                <w:b/>
                <w:color w:val="000000" w:themeColor="text1"/>
                <w:sz w:val="20"/>
                <w:szCs w:val="20"/>
                <w14:textFill>
                  <w14:solidFill>
                    <w14:schemeClr w14:val="tx1"/>
                  </w14:solidFill>
                </w14:textFill>
              </w:rPr>
              <w:t>建筑工程施工总承包、水利水电工程施工总承包、市政公用工程施工总承包、建筑装修装饰工程专业承包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管理层、办公室、经营部。工程部、财务部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办公室</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办公室。工程部</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办公室。工程部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办公室。工程部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lang w:val="en-US" w:eastAsia="zh-CN"/>
              </w:rPr>
              <w:t>无</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lang w:val="en-US" w:eastAsia="zh-CN"/>
              </w:rPr>
              <w:t>无</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rPr>
                <w:rFonts w:hint="eastAsia"/>
                <w:b/>
                <w:bCs/>
                <w:color w:val="auto"/>
              </w:rPr>
              <w:t>湖北省京山市新市镇新阳大道御景北苑小区1幢1单元B02</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4"/>
              </w:rPr>
            </w:pPr>
            <w:r>
              <w:rPr>
                <w:rFonts w:hint="eastAsia" w:ascii="宋体" w:hAnsi="宋体"/>
                <w:b/>
                <w:color w:val="000000"/>
                <w:sz w:val="20"/>
                <w:szCs w:val="20"/>
              </w:rPr>
              <w:t>如有，请描述具体现场：</w:t>
            </w: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hint="default" w:ascii="宋体" w:eastAsia="宋体"/>
                <w:color w:val="000000"/>
                <w:spacing w:val="-10"/>
                <w:sz w:val="20"/>
                <w:szCs w:val="20"/>
                <w:lang w:val="en-US" w:eastAsia="zh-CN"/>
              </w:rPr>
            </w:pPr>
            <w:r>
              <w:rPr>
                <w:rFonts w:hint="eastAsia" w:ascii="宋体"/>
                <w:color w:val="000000"/>
                <w:sz w:val="20"/>
                <w:szCs w:val="20"/>
              </w:rPr>
              <w:t>如不一致，请简述不一致情况：</w:t>
            </w:r>
            <w:r>
              <w:rPr>
                <w:rFonts w:hint="eastAsia" w:ascii="宋体"/>
                <w:color w:val="000000"/>
                <w:sz w:val="20"/>
                <w:szCs w:val="20"/>
                <w:lang w:val="en-US" w:eastAsia="zh-CN"/>
              </w:rPr>
              <w:t>公司申报的范围与公司实际施工范围不一致，部分内容未提供申报认证范围的施工现场，已变更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产品技术标准号：</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A3"/>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snapToGrid w:val="0"/>
              <w:spacing w:line="280" w:lineRule="exact"/>
              <w:rPr>
                <w:b/>
                <w:sz w:val="20"/>
              </w:rPr>
            </w:pPr>
            <w:r>
              <w:rPr>
                <w:rFonts w:hint="eastAsia"/>
                <w:b/>
                <w:sz w:val="20"/>
              </w:rPr>
              <w:t>建筑施工流程：施工准备—基础开挖—基础工程—主体工程—门窗安装—内外粉刷—楼地面—清理验收。</w:t>
            </w:r>
          </w:p>
          <w:p>
            <w:pPr>
              <w:snapToGrid w:val="0"/>
              <w:spacing w:line="280" w:lineRule="exact"/>
              <w:rPr>
                <w:b/>
                <w:sz w:val="20"/>
              </w:rPr>
            </w:pPr>
            <w:r>
              <w:rPr>
                <w:rFonts w:hint="eastAsia"/>
                <w:b/>
                <w:sz w:val="20"/>
              </w:rPr>
              <w:t>水利水电工程工艺流程：签订合同—组建项目部—编制施工组织设计—组织施工—过程检验—分部分项验收—竣工验收—交付及交付后的活动。</w:t>
            </w:r>
          </w:p>
          <w:p>
            <w:pPr>
              <w:snapToGrid w:val="0"/>
              <w:spacing w:line="280" w:lineRule="exact"/>
              <w:rPr>
                <w:rFonts w:hint="eastAsia"/>
                <w:b/>
                <w:sz w:val="20"/>
              </w:rPr>
            </w:pPr>
            <w:r>
              <w:rPr>
                <w:rFonts w:hint="eastAsia"/>
                <w:b/>
                <w:sz w:val="20"/>
              </w:rPr>
              <w:t>市政公用工程流程：签订合同—组建项目部—编制施工组织设计—组织施工—过程检验—分部分项验收—竣工验收—交付及交付后的活动。</w:t>
            </w:r>
          </w:p>
          <w:p>
            <w:pPr>
              <w:rPr>
                <w:rFonts w:ascii="宋体"/>
                <w:color w:val="000000"/>
                <w:sz w:val="20"/>
                <w:szCs w:val="20"/>
              </w:rPr>
            </w:pPr>
            <w:r>
              <w:rPr>
                <w:rFonts w:hint="eastAsia" w:hAnsi="宋体"/>
                <w:b/>
                <w:bCs/>
                <w:sz w:val="21"/>
                <w:szCs w:val="21"/>
              </w:rPr>
              <w:t>装饰装修工程：场地平整---定位放线---基础土方---基础垫层---基础钢筋---基础模板---基础砼---基础回填---主体钢筋---主体模板---主体砼---屋面施工---内外墙砌筑---门窗安装---室内外墙装饰装修---油漆工程---玻璃安装---楼、地面铺装---卫生间洁具安装---水、暖、电、气安装---分部工程验收---单位工程竣工验收---单位工程合格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r>
              <w:rPr>
                <w:rFonts w:hint="eastAsia"/>
                <w:b/>
                <w:sz w:val="20"/>
              </w:rPr>
              <w:t>基坑开挖和模板支护、结构焊接过程、特殊防水过程、大体积混凝土等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ascii="宋体" w:hAnsi="宋体"/>
                <w:color w:val="000000"/>
                <w:sz w:val="20"/>
                <w:szCs w:val="20"/>
                <w:lang w:val="en-US" w:eastAsia="zh-CN"/>
              </w:rPr>
              <w:t>混凝土浇筑、防水过程、隐蔽工程、焊接过程等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hint="default" w:ascii="宋体" w:eastAsia="宋体"/>
                <w:color w:val="000000"/>
                <w:sz w:val="20"/>
                <w:szCs w:val="20"/>
                <w:lang w:val="en-US" w:eastAsia="zh-CN"/>
              </w:rPr>
            </w:pPr>
            <w:r>
              <w:rPr>
                <w:rFonts w:hint="eastAsia" w:ascii="宋体"/>
                <w:color w:val="000000"/>
                <w:sz w:val="20"/>
                <w:szCs w:val="20"/>
              </w:rPr>
              <w:t>检测设备是否满足要求□是</w:t>
            </w:r>
            <w:r>
              <w:rPr>
                <w:rFonts w:hint="eastAsia" w:ascii="宋体"/>
                <w:color w:val="000000"/>
                <w:sz w:val="20"/>
                <w:szCs w:val="20"/>
              </w:rPr>
              <w:sym w:font="Wingdings 2" w:char="0052"/>
            </w:r>
            <w:r>
              <w:rPr>
                <w:rFonts w:hint="eastAsia" w:ascii="宋体"/>
                <w:color w:val="000000"/>
                <w:sz w:val="20"/>
                <w:szCs w:val="20"/>
              </w:rPr>
              <w:t>否</w:t>
            </w:r>
            <w:r>
              <w:rPr>
                <w:rFonts w:hint="eastAsia" w:ascii="宋体"/>
                <w:color w:val="000000"/>
                <w:sz w:val="20"/>
                <w:szCs w:val="20"/>
                <w:lang w:val="en-US" w:eastAsia="zh-CN"/>
              </w:rPr>
              <w:t xml:space="preserve"> 未提供校准/检定的相关证实。见一阶段问题清单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rPr>
              <w:sym w:font="Wingdings 2" w:char="0052"/>
            </w:r>
            <w:r>
              <w:rPr>
                <w:rFonts w:hint="eastAsia" w:ascii="宋体"/>
                <w:color w:val="000000"/>
                <w:sz w:val="20"/>
                <w:szCs w:val="20"/>
              </w:rPr>
              <w:t>是□否，识别是否充分</w:t>
            </w:r>
            <w:r>
              <w:rPr>
                <w:rFonts w:hint="eastAsia" w:ascii="宋体"/>
                <w:color w:val="000000"/>
                <w:sz w:val="20"/>
                <w:szCs w:val="20"/>
              </w:rPr>
              <w:sym w:font="Wingdings 2" w:char="0052"/>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rPr>
              <w:sym w:font="Wingdings 2" w:char="0052"/>
            </w:r>
            <w:r>
              <w:rPr>
                <w:rFonts w:hint="eastAsia" w:ascii="宋体"/>
                <w:color w:val="000000"/>
                <w:sz w:val="20"/>
                <w:szCs w:val="20"/>
              </w:rPr>
              <w:t>是□否，识别是否充分</w:t>
            </w:r>
            <w:r>
              <w:rPr>
                <w:rFonts w:hint="eastAsia" w:ascii="宋体"/>
                <w:color w:val="000000"/>
                <w:sz w:val="20"/>
                <w:szCs w:val="20"/>
              </w:rPr>
              <w:sym w:font="Wingdings 2" w:char="0052"/>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rPr>
              <w:sym w:font="Wingdings 2" w:char="0052"/>
            </w:r>
            <w:r>
              <w:rPr>
                <w:rFonts w:hint="eastAsia" w:ascii="宋体"/>
                <w:color w:val="000000"/>
                <w:sz w:val="20"/>
                <w:szCs w:val="20"/>
              </w:rPr>
              <w:t>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组织员工人数：人，其中管理人员：人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vAlign w:val="top"/>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eastAsia"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工程部、项目部</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施工过程</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项目部施工现场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vAlign w:val="top"/>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eastAsia"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办公室、工程部、项目部</w:t>
            </w:r>
          </w:p>
          <w:p>
            <w:pPr>
              <w:spacing w:line="360" w:lineRule="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项目部在建现场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vAlign w:val="top"/>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施工过程</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项目部在建现场</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vAlign w:val="top"/>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lang w:val="en-US" w:eastAsia="zh-CN"/>
              </w:rPr>
              <w:t>制定了内审核计划，对内审员进行相关标准的培训。审核方案编制合理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rPr>
              <w:t>管理体系范围内的活动及标准的要求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了解内审结论是什么？</w:t>
            </w:r>
            <w:r>
              <w:rPr>
                <w:rFonts w:hint="eastAsia" w:ascii="宋体" w:hAnsi="宋体"/>
                <w:b/>
                <w:color w:val="000000"/>
                <w:sz w:val="20"/>
                <w:szCs w:val="20"/>
                <w:lang w:val="en-US" w:eastAsia="zh-CN"/>
              </w:rPr>
              <w:t>体系运行有效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rPr>
                <w:szCs w:val="21"/>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lang w:val="en-US" w:eastAsia="zh-CN"/>
              </w:rPr>
              <w:t xml:space="preserve">策划较完整 </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b/>
                <w:color w:val="000000"/>
                <w:sz w:val="20"/>
                <w:szCs w:val="20"/>
                <w:lang w:val="en-US" w:eastAsia="zh-CN"/>
              </w:rPr>
              <w:t>提出改进建议已得到落实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r>
              <w:rPr>
                <w:rFonts w:hint="eastAsia" w:ascii="宋体" w:hAnsi="宋体"/>
                <w:b/>
                <w:color w:val="000000"/>
                <w:sz w:val="20"/>
                <w:szCs w:val="20"/>
                <w:lang w:val="en-US" w:eastAsia="zh-CN"/>
              </w:rPr>
              <w:t>具备二阶段审核的基本要求。</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sym w:font="Wingdings 2" w:char="0052"/>
            </w:r>
            <w:r>
              <w:rPr>
                <w:rFonts w:ascii="宋体" w:hAnsi="宋体"/>
                <w:b/>
                <w:color w:val="000000"/>
                <w:sz w:val="20"/>
                <w:szCs w:val="20"/>
              </w:rPr>
              <w:t>QMS /</w:t>
            </w:r>
            <w:r>
              <w:rPr>
                <w:rFonts w:hint="eastAsia" w:ascii="宋体" w:hAnsi="宋体"/>
                <w:b/>
                <w:color w:val="000000"/>
                <w:spacing w:val="-10"/>
                <w:sz w:val="20"/>
                <w:szCs w:val="20"/>
                <w:lang w:val="de-DE"/>
              </w:rPr>
              <w:sym w:font="Wingdings 2" w:char="0052"/>
            </w:r>
            <w:r>
              <w:rPr>
                <w:rFonts w:ascii="宋体" w:hAnsi="宋体"/>
                <w:b/>
                <w:color w:val="000000"/>
                <w:sz w:val="20"/>
                <w:szCs w:val="20"/>
              </w:rPr>
              <w:t>EMS/</w:t>
            </w:r>
            <w:r>
              <w:rPr>
                <w:rFonts w:hint="eastAsia" w:ascii="宋体" w:hAnsi="宋体"/>
                <w:b/>
                <w:color w:val="000000"/>
                <w:spacing w:val="-10"/>
                <w:sz w:val="20"/>
                <w:szCs w:val="20"/>
                <w:lang w:val="de-DE"/>
              </w:rPr>
              <w:sym w:font="Wingdings 2" w:char="0052"/>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sym w:font="Wingdings 2" w:char="0052"/>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范围有变化，与组织最终确定二阶段范围是：</w:t>
      </w:r>
    </w:p>
    <w:p>
      <w:pPr>
        <w:spacing w:line="400" w:lineRule="exact"/>
        <w:rPr>
          <w:rFonts w:ascii="宋体"/>
          <w:b/>
          <w:color w:val="FF0000"/>
          <w:sz w:val="20"/>
          <w:szCs w:val="20"/>
          <w:u w:val="single"/>
        </w:rPr>
      </w:pPr>
      <w:bookmarkStart w:id="19" w:name="_GoBack"/>
      <w:bookmarkEnd w:id="19"/>
      <w:r>
        <w:rPr>
          <w:rFonts w:ascii="宋体" w:hAnsi="宋体"/>
          <w:b/>
          <w:color w:val="FF0000"/>
          <w:sz w:val="20"/>
          <w:szCs w:val="20"/>
        </w:rPr>
        <w:t>EC：建筑工程施工总承包、水利水电工程施工总承包、市政公用工程施工总承包、建筑装修装饰工程专业承包</w:t>
      </w:r>
    </w:p>
    <w:p>
      <w:pPr>
        <w:spacing w:line="400" w:lineRule="exact"/>
        <w:rPr>
          <w:rFonts w:ascii="宋体" w:hAnsi="宋体"/>
          <w:b/>
          <w:color w:val="FF0000"/>
          <w:sz w:val="20"/>
          <w:szCs w:val="20"/>
        </w:rPr>
      </w:pPr>
      <w:r>
        <w:rPr>
          <w:rFonts w:ascii="宋体" w:hAnsi="宋体"/>
          <w:b/>
          <w:color w:val="FF0000"/>
          <w:sz w:val="20"/>
          <w:szCs w:val="20"/>
        </w:rPr>
        <w:t>E：建筑工程施工总承包、水利水电工程施工总承包、市政公用工程施工总承包、建筑装修装饰工程专业承包所涉及场所的相关环境管理活动</w:t>
      </w:r>
    </w:p>
    <w:p>
      <w:pPr>
        <w:spacing w:line="300" w:lineRule="auto"/>
        <w:ind w:firstLine="201" w:firstLineChars="100"/>
        <w:rPr>
          <w:rFonts w:ascii="宋体"/>
          <w:b/>
          <w:color w:val="FF0000"/>
          <w:sz w:val="20"/>
          <w:szCs w:val="20"/>
          <w:u w:val="single"/>
        </w:rPr>
      </w:pPr>
      <w:r>
        <w:rPr>
          <w:rFonts w:ascii="宋体" w:hAnsi="宋体"/>
          <w:b/>
          <w:color w:val="FF0000"/>
          <w:sz w:val="20"/>
          <w:szCs w:val="20"/>
        </w:rPr>
        <w:t>O：建筑工程施工总承包、水利水电工程施工总承包、市政公用工程施工总承包、建筑装修装饰工程专业承包所涉及场所的相关职业健康安全管理活动</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pStyle w:val="5"/>
        <w:pBdr>
          <w:bottom w:val="none" w:color="auto" w:sz="0" w:space="0"/>
        </w:pBdr>
        <w:ind w:right="600" w:firstLine="660"/>
        <w:rPr>
          <w:rFonts w:eastAsia="隶书"/>
          <w:color w:val="000000"/>
          <w:sz w:val="32"/>
          <w:szCs w:val="32"/>
        </w:rPr>
      </w:pPr>
      <w:r>
        <w:rPr>
          <w:rFonts w:hint="eastAsia" w:eastAsia="隶书"/>
          <w:color w:val="000000"/>
          <w:szCs w:val="21"/>
        </w:rPr>
        <w:t>附</w:t>
      </w: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rFonts w:ascii="宋体"/>
          <w:b/>
          <w:color w:val="000000"/>
          <w:sz w:val="20"/>
          <w:szCs w:val="20"/>
        </w:rPr>
        <w:t>湖北鸿远盛世水利水电工程有限公司</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4857"/>
        <w:gridCol w:w="2600"/>
        <w:gridCol w:w="1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4857"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2600"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723"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948" w:type="dxa"/>
            <w:vAlign w:val="center"/>
          </w:tcPr>
          <w:p>
            <w:pPr>
              <w:pStyle w:val="5"/>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4857" w:type="dxa"/>
            <w:vAlign w:val="center"/>
          </w:tcPr>
          <w:p>
            <w:pPr>
              <w:pStyle w:val="5"/>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测量设备未提供校准证实</w:t>
            </w:r>
          </w:p>
        </w:tc>
        <w:tc>
          <w:tcPr>
            <w:tcW w:w="2600" w:type="dxa"/>
            <w:vAlign w:val="center"/>
          </w:tcPr>
          <w:p>
            <w:pPr>
              <w:pStyle w:val="5"/>
              <w:pBdr>
                <w:bottom w:val="none" w:color="auto" w:sz="0" w:space="0"/>
              </w:pBdr>
              <w:ind w:right="600"/>
              <w:jc w:val="both"/>
              <w:rPr>
                <w:rFonts w:hint="default" w:eastAsia="宋体"/>
                <w:b w:val="0"/>
                <w:bCs w:val="0"/>
                <w:color w:val="000000"/>
                <w:sz w:val="21"/>
                <w:szCs w:val="21"/>
                <w:lang w:val="en-US" w:eastAsia="zh-CN"/>
              </w:rPr>
            </w:pPr>
            <w:r>
              <w:rPr>
                <w:rFonts w:ascii="宋体" w:hAnsi="宋体"/>
                <w:b/>
                <w:color w:val="000000"/>
                <w:sz w:val="21"/>
                <w:szCs w:val="21"/>
                <w:lang w:val="de-DE"/>
              </w:rPr>
              <w:t>GB/T19001-2016  GB/T</w:t>
            </w:r>
            <w:r>
              <w:rPr>
                <w:rFonts w:hint="eastAsia" w:ascii="宋体" w:hAnsi="宋体"/>
                <w:b/>
                <w:color w:val="000000"/>
                <w:sz w:val="21"/>
                <w:szCs w:val="21"/>
                <w:lang w:val="en-US" w:eastAsia="zh-CN"/>
              </w:rPr>
              <w:t>50430</w:t>
            </w:r>
            <w:r>
              <w:rPr>
                <w:rFonts w:ascii="宋体" w:hAnsi="宋体"/>
                <w:b/>
                <w:color w:val="000000"/>
                <w:sz w:val="21"/>
                <w:szCs w:val="21"/>
                <w:lang w:val="de-DE"/>
              </w:rPr>
              <w:t>-201</w:t>
            </w:r>
            <w:r>
              <w:rPr>
                <w:rFonts w:hint="eastAsia" w:ascii="宋体" w:hAnsi="宋体"/>
                <w:b/>
                <w:color w:val="000000"/>
                <w:sz w:val="21"/>
                <w:szCs w:val="21"/>
                <w:lang w:val="en-US" w:eastAsia="zh-CN"/>
              </w:rPr>
              <w:t>7</w:t>
            </w:r>
            <w:r>
              <w:rPr>
                <w:rFonts w:ascii="宋体" w:hAnsi="宋体"/>
                <w:b/>
                <w:color w:val="000000"/>
                <w:sz w:val="21"/>
                <w:szCs w:val="21"/>
                <w:lang w:val="de-DE"/>
              </w:rPr>
              <w:t xml:space="preserve">  </w:t>
            </w:r>
          </w:p>
        </w:tc>
        <w:tc>
          <w:tcPr>
            <w:tcW w:w="1723" w:type="dxa"/>
            <w:vAlign w:val="center"/>
          </w:tcPr>
          <w:p>
            <w:pPr>
              <w:pStyle w:val="5"/>
              <w:pBdr>
                <w:bottom w:val="none" w:color="auto" w:sz="0" w:space="0"/>
              </w:pBdr>
              <w:ind w:right="600"/>
              <w:jc w:val="both"/>
              <w:rPr>
                <w:b/>
                <w:bCs/>
                <w:color w:val="000000"/>
                <w:sz w:val="21"/>
                <w:szCs w:val="21"/>
              </w:rPr>
            </w:pPr>
            <w:r>
              <w:rPr>
                <w:rFonts w:hint="eastAsia"/>
                <w:b/>
                <w:bCs/>
                <w:color w:val="000000"/>
                <w:sz w:val="21"/>
                <w:szCs w:val="21"/>
                <w:lang w:val="en-US" w:eastAsia="zh-CN"/>
              </w:rPr>
              <w:t>Q7.1.5/J</w:t>
            </w:r>
            <w:r>
              <w:rPr>
                <w:rFonts w:hint="eastAsia" w:ascii="宋体" w:hAnsi="宋体"/>
                <w:b/>
                <w:bCs/>
                <w:sz w:val="21"/>
                <w:szCs w:val="21"/>
              </w:rPr>
              <w:t>(11.4.2)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2</w:t>
            </w:r>
          </w:p>
        </w:tc>
        <w:tc>
          <w:tcPr>
            <w:tcW w:w="4857" w:type="dxa"/>
            <w:vAlign w:val="center"/>
          </w:tcPr>
          <w:p>
            <w:pPr>
              <w:pStyle w:val="5"/>
              <w:pBdr>
                <w:bottom w:val="none" w:color="auto" w:sz="0" w:space="0"/>
              </w:pBdr>
              <w:tabs>
                <w:tab w:val="center" w:pos="5737"/>
                <w:tab w:val="clear" w:pos="4153"/>
              </w:tabs>
              <w:jc w:val="both"/>
              <w:rPr>
                <w:rFonts w:hint="default"/>
                <w:color w:val="000000"/>
                <w:sz w:val="21"/>
                <w:szCs w:val="21"/>
                <w:lang w:val="en-US" w:eastAsia="zh-CN"/>
              </w:rPr>
            </w:pPr>
            <w:r>
              <w:rPr>
                <w:rFonts w:hint="eastAsia"/>
                <w:color w:val="000000"/>
                <w:sz w:val="21"/>
                <w:szCs w:val="21"/>
                <w:lang w:val="en-US" w:eastAsia="zh-CN"/>
              </w:rPr>
              <w:t>在建项目及完工项目的收集欠完整。在建项目：缺少技术/安全交底、施工日志等施工记录；</w:t>
            </w:r>
          </w:p>
          <w:p>
            <w:pPr>
              <w:pStyle w:val="5"/>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完工项目只提供合同及验收报告（验收报告未附有相关验收项目），未提供材料进场、分部分项验收等相关证实。</w:t>
            </w:r>
          </w:p>
        </w:tc>
        <w:tc>
          <w:tcPr>
            <w:tcW w:w="2600" w:type="dxa"/>
            <w:vAlign w:val="center"/>
          </w:tcPr>
          <w:p>
            <w:pPr>
              <w:pStyle w:val="5"/>
              <w:pBdr>
                <w:bottom w:val="none" w:color="auto" w:sz="0" w:space="0"/>
              </w:pBdr>
              <w:ind w:right="600"/>
              <w:jc w:val="both"/>
              <w:rPr>
                <w:rFonts w:hint="default" w:eastAsia="宋体"/>
                <w:b w:val="0"/>
                <w:bCs w:val="0"/>
                <w:color w:val="000000"/>
                <w:sz w:val="21"/>
                <w:szCs w:val="21"/>
                <w:lang w:val="en-US" w:eastAsia="zh-CN"/>
              </w:rPr>
            </w:pPr>
            <w:r>
              <w:rPr>
                <w:rFonts w:ascii="宋体" w:hAnsi="宋体"/>
                <w:b/>
                <w:color w:val="000000"/>
                <w:sz w:val="21"/>
                <w:szCs w:val="21"/>
                <w:lang w:val="de-DE"/>
              </w:rPr>
              <w:t>GB/T19001-2016  GB/T</w:t>
            </w:r>
            <w:r>
              <w:rPr>
                <w:rFonts w:hint="eastAsia" w:ascii="宋体" w:hAnsi="宋体"/>
                <w:b/>
                <w:color w:val="000000"/>
                <w:sz w:val="21"/>
                <w:szCs w:val="21"/>
                <w:lang w:val="en-US" w:eastAsia="zh-CN"/>
              </w:rPr>
              <w:t>50430</w:t>
            </w:r>
            <w:r>
              <w:rPr>
                <w:rFonts w:ascii="宋体" w:hAnsi="宋体"/>
                <w:b/>
                <w:color w:val="000000"/>
                <w:sz w:val="21"/>
                <w:szCs w:val="21"/>
                <w:lang w:val="de-DE"/>
              </w:rPr>
              <w:t>-201</w:t>
            </w:r>
            <w:r>
              <w:rPr>
                <w:rFonts w:hint="eastAsia" w:ascii="宋体" w:hAnsi="宋体"/>
                <w:b/>
                <w:color w:val="000000"/>
                <w:sz w:val="21"/>
                <w:szCs w:val="21"/>
                <w:lang w:val="en-US" w:eastAsia="zh-CN"/>
              </w:rPr>
              <w:t>7</w:t>
            </w:r>
            <w:r>
              <w:rPr>
                <w:rFonts w:ascii="宋体" w:hAnsi="宋体"/>
                <w:b/>
                <w:color w:val="000000"/>
                <w:sz w:val="21"/>
                <w:szCs w:val="21"/>
                <w:lang w:val="de-DE"/>
              </w:rPr>
              <w:t xml:space="preserve">  </w:t>
            </w:r>
          </w:p>
        </w:tc>
        <w:tc>
          <w:tcPr>
            <w:tcW w:w="1723" w:type="dxa"/>
            <w:vAlign w:val="center"/>
          </w:tcPr>
          <w:p>
            <w:pPr>
              <w:pStyle w:val="5"/>
              <w:pBdr>
                <w:bottom w:val="none" w:color="auto" w:sz="0" w:space="0"/>
              </w:pBdr>
              <w:ind w:right="600"/>
              <w:jc w:val="both"/>
              <w:rPr>
                <w:b/>
                <w:bCs/>
                <w:color w:val="000000"/>
                <w:sz w:val="21"/>
                <w:szCs w:val="21"/>
              </w:rPr>
            </w:pPr>
            <w:r>
              <w:rPr>
                <w:rFonts w:hint="eastAsia"/>
                <w:b/>
                <w:bCs/>
                <w:color w:val="000000"/>
                <w:sz w:val="21"/>
                <w:szCs w:val="21"/>
                <w:lang w:val="en-US" w:eastAsia="zh-CN"/>
              </w:rPr>
              <w:t>Q8.5/J</w:t>
            </w:r>
            <w:r>
              <w:rPr>
                <w:rFonts w:hint="eastAsia" w:ascii="宋体" w:hAnsi="宋体"/>
                <w:b/>
                <w:bCs/>
                <w:sz w:val="21"/>
                <w:szCs w:val="21"/>
              </w:rPr>
              <w:t>(10.4、10.5、10.6)</w:t>
            </w:r>
            <w:r>
              <w:rPr>
                <w:rFonts w:hint="eastAsia"/>
                <w:b/>
                <w:bCs/>
                <w:color w:val="000000"/>
                <w:sz w:val="21"/>
                <w:szCs w:val="21"/>
                <w:lang w:val="en-US" w:eastAsia="zh-CN"/>
              </w:rPr>
              <w:t>、8.6/J</w:t>
            </w:r>
            <w:r>
              <w:rPr>
                <w:rFonts w:hint="eastAsia" w:ascii="宋体" w:hAnsi="宋体"/>
                <w:b/>
                <w:bCs/>
                <w:sz w:val="21"/>
                <w:szCs w:val="21"/>
              </w:rPr>
              <w:t>（11.3.1-3）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hint="eastAsia" w:ascii="宋体" w:eastAsia="宋体"/>
                <w:color w:val="000000"/>
                <w:sz w:val="24"/>
                <w:szCs w:val="24"/>
                <w:lang w:val="en-US" w:eastAsia="zh-CN"/>
              </w:rPr>
            </w:pPr>
          </w:p>
        </w:tc>
        <w:tc>
          <w:tcPr>
            <w:tcW w:w="4857" w:type="dxa"/>
            <w:vAlign w:val="center"/>
          </w:tcPr>
          <w:p>
            <w:pPr>
              <w:pStyle w:val="5"/>
              <w:pBdr>
                <w:bottom w:val="none" w:color="auto" w:sz="0" w:space="0"/>
              </w:pBdr>
              <w:tabs>
                <w:tab w:val="center" w:pos="5737"/>
                <w:tab w:val="clear" w:pos="4153"/>
              </w:tabs>
              <w:jc w:val="both"/>
              <w:rPr>
                <w:color w:val="000000"/>
                <w:sz w:val="24"/>
                <w:szCs w:val="24"/>
              </w:rPr>
            </w:pPr>
            <w:r>
              <w:drawing>
                <wp:inline distT="0" distB="0" distL="114300" distR="114300">
                  <wp:extent cx="1012190" cy="1388745"/>
                  <wp:effectExtent l="0" t="0" r="1651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1012190" cy="1388745"/>
                          </a:xfrm>
                          <a:prstGeom prst="rect">
                            <a:avLst/>
                          </a:prstGeom>
                          <a:noFill/>
                          <a:ln>
                            <a:noFill/>
                          </a:ln>
                        </pic:spPr>
                      </pic:pic>
                    </a:graphicData>
                  </a:graphic>
                </wp:inline>
              </w:drawing>
            </w:r>
          </w:p>
        </w:tc>
        <w:tc>
          <w:tcPr>
            <w:tcW w:w="2600" w:type="dxa"/>
            <w:vAlign w:val="center"/>
          </w:tcPr>
          <w:p>
            <w:pPr>
              <w:pStyle w:val="5"/>
              <w:pBdr>
                <w:bottom w:val="none" w:color="auto" w:sz="0" w:space="0"/>
              </w:pBdr>
              <w:ind w:right="600"/>
              <w:jc w:val="both"/>
              <w:rPr>
                <w:color w:val="000000"/>
                <w:sz w:val="32"/>
                <w:szCs w:val="32"/>
              </w:rPr>
            </w:pPr>
          </w:p>
        </w:tc>
        <w:tc>
          <w:tcPr>
            <w:tcW w:w="1723"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4857" w:type="dxa"/>
            <w:vAlign w:val="center"/>
          </w:tcPr>
          <w:p>
            <w:pPr>
              <w:pStyle w:val="5"/>
              <w:pBdr>
                <w:bottom w:val="none" w:color="auto" w:sz="0" w:space="0"/>
              </w:pBdr>
              <w:tabs>
                <w:tab w:val="center" w:pos="5737"/>
                <w:tab w:val="clear" w:pos="4153"/>
              </w:tabs>
              <w:jc w:val="both"/>
              <w:rPr>
                <w:color w:val="000000"/>
                <w:sz w:val="24"/>
                <w:szCs w:val="24"/>
              </w:rPr>
            </w:pPr>
          </w:p>
        </w:tc>
        <w:tc>
          <w:tcPr>
            <w:tcW w:w="2600" w:type="dxa"/>
            <w:vAlign w:val="center"/>
          </w:tcPr>
          <w:p>
            <w:pPr>
              <w:pStyle w:val="5"/>
              <w:pBdr>
                <w:bottom w:val="none" w:color="auto" w:sz="0" w:space="0"/>
              </w:pBdr>
              <w:ind w:right="600"/>
              <w:jc w:val="both"/>
              <w:rPr>
                <w:color w:val="000000"/>
                <w:sz w:val="32"/>
                <w:szCs w:val="32"/>
              </w:rPr>
            </w:pPr>
          </w:p>
        </w:tc>
        <w:tc>
          <w:tcPr>
            <w:tcW w:w="1723"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4857" w:type="dxa"/>
            <w:vAlign w:val="center"/>
          </w:tcPr>
          <w:p>
            <w:pPr>
              <w:pStyle w:val="5"/>
              <w:pBdr>
                <w:bottom w:val="none" w:color="auto" w:sz="0" w:space="0"/>
              </w:pBdr>
              <w:tabs>
                <w:tab w:val="center" w:pos="5737"/>
                <w:tab w:val="clear" w:pos="4153"/>
              </w:tabs>
              <w:jc w:val="both"/>
              <w:rPr>
                <w:color w:val="000000"/>
                <w:sz w:val="24"/>
                <w:szCs w:val="24"/>
              </w:rPr>
            </w:pPr>
          </w:p>
        </w:tc>
        <w:tc>
          <w:tcPr>
            <w:tcW w:w="2600" w:type="dxa"/>
            <w:vAlign w:val="center"/>
          </w:tcPr>
          <w:p>
            <w:pPr>
              <w:pStyle w:val="5"/>
              <w:pBdr>
                <w:bottom w:val="none" w:color="auto" w:sz="0" w:space="0"/>
              </w:pBdr>
              <w:ind w:right="600"/>
              <w:jc w:val="both"/>
              <w:rPr>
                <w:color w:val="000000"/>
                <w:sz w:val="32"/>
                <w:szCs w:val="32"/>
              </w:rPr>
            </w:pPr>
          </w:p>
        </w:tc>
        <w:tc>
          <w:tcPr>
            <w:tcW w:w="1723"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sym w:font="Wingdings 2" w:char="0052"/>
            </w:r>
            <w:r>
              <w:rPr>
                <w:rFonts w:hint="eastAsia"/>
                <w:b/>
                <w:color w:val="000000"/>
                <w:spacing w:val="-10"/>
                <w:szCs w:val="21"/>
              </w:rPr>
              <w:t>二阶段现场审核前不需提交书面材料的整改项（第</w:t>
            </w:r>
            <w:r>
              <w:rPr>
                <w:rFonts w:hint="eastAsia"/>
                <w:b/>
                <w:color w:val="000000"/>
                <w:spacing w:val="-10"/>
                <w:szCs w:val="21"/>
                <w:lang w:val="en-US" w:eastAsia="zh-CN"/>
              </w:rPr>
              <w:t>1、2</w:t>
            </w:r>
            <w:r>
              <w:rPr>
                <w:rFonts w:hint="eastAsia"/>
                <w:b/>
                <w:color w:val="000000"/>
                <w:spacing w:val="-10"/>
                <w:szCs w:val="21"/>
              </w:rPr>
              <w:t>项，共</w:t>
            </w:r>
            <w:r>
              <w:rPr>
                <w:rFonts w:hint="eastAsia"/>
                <w:b/>
                <w:color w:val="000000"/>
                <w:spacing w:val="-10"/>
                <w:szCs w:val="21"/>
                <w:lang w:val="en-US" w:eastAsia="zh-CN"/>
              </w:rPr>
              <w:t>2</w:t>
            </w:r>
            <w:r>
              <w:rPr>
                <w:rFonts w:hint="eastAsia"/>
                <w:b/>
                <w:color w:val="000000"/>
                <w:spacing w:val="-10"/>
                <w:szCs w:val="21"/>
              </w:rPr>
              <w:t>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w:t>
            </w:r>
            <w:r>
              <w:rPr>
                <w:rFonts w:hint="eastAsia"/>
                <w:b/>
                <w:color w:val="000000"/>
                <w:sz w:val="22"/>
                <w:szCs w:val="22"/>
                <w:lang w:val="en-US" w:eastAsia="zh-CN"/>
              </w:rPr>
              <w:t xml:space="preserve">         </w:t>
            </w:r>
            <w:r>
              <w:rPr>
                <w:rFonts w:hint="eastAsia"/>
                <w:b/>
                <w:color w:val="000000"/>
                <w:sz w:val="22"/>
                <w:szCs w:val="2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3073"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3074"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3075" o:spid="_x0000_s3075"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rules v:ext="edit">
        <o:r id="V:Rule1" type="connector" idref="#_x0000_s3075"/>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560DB5"/>
    <w:rsid w:val="06657F33"/>
    <w:rsid w:val="0EF11495"/>
    <w:rsid w:val="38E550C4"/>
    <w:rsid w:val="4C4B662B"/>
    <w:rsid w:val="5B094B9E"/>
    <w:rsid w:val="5FCF3FDB"/>
    <w:rsid w:val="60007038"/>
    <w:rsid w:val="68585905"/>
    <w:rsid w:val="7FBF58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rFonts w:ascii="Calibri" w:hAnsi="Calibri"/>
      <w:bCs/>
      <w:spacing w:val="10"/>
      <w:sz w:val="24"/>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4</TotalTime>
  <ScaleCrop>false</ScaleCrop>
  <LinksUpToDate>false</LinksUpToDate>
  <CharactersWithSpaces>6844</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李凤仪</cp:lastModifiedBy>
  <dcterms:modified xsi:type="dcterms:W3CDTF">2021-11-15T15:24:47Z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A42CC757CA0A4D4E97E85F5183C3071E</vt:lpwstr>
  </property>
</Properties>
</file>