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青海西部矿业工程技术研究有限公司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338"/>
        <w:gridCol w:w="512"/>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331" w:type="dxa"/>
            <w:gridSpan w:val="2"/>
            <w:vAlign w:val="center"/>
          </w:tcPr>
          <w:p>
            <w:pPr>
              <w:jc w:val="center"/>
              <w:rPr>
                <w:b/>
                <w:sz w:val="21"/>
                <w:szCs w:val="21"/>
              </w:rPr>
            </w:pPr>
            <w:r>
              <w:rPr>
                <w:rFonts w:hint="eastAsia"/>
                <w:b/>
                <w:sz w:val="21"/>
                <w:szCs w:val="21"/>
              </w:rPr>
              <w:t>专业代码</w:t>
            </w:r>
          </w:p>
        </w:tc>
        <w:tc>
          <w:tcPr>
            <w:tcW w:w="2126"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sz w:val="20"/>
              </w:rPr>
            </w:pPr>
            <w:r>
              <w:rPr>
                <w:sz w:val="20"/>
              </w:rPr>
              <w:t>周涛</w:t>
            </w:r>
          </w:p>
        </w:tc>
        <w:tc>
          <w:tcPr>
            <w:tcW w:w="824" w:type="dxa"/>
            <w:gridSpan w:val="2"/>
            <w:vAlign w:val="center"/>
          </w:tcPr>
          <w:p>
            <w:pPr>
              <w:jc w:val="center"/>
              <w:rPr>
                <w:sz w:val="20"/>
              </w:rPr>
            </w:pPr>
            <w:r>
              <w:rPr>
                <w:sz w:val="20"/>
              </w:rPr>
              <w:t>男</w:t>
            </w:r>
          </w:p>
        </w:tc>
        <w:tc>
          <w:tcPr>
            <w:tcW w:w="1559" w:type="dxa"/>
            <w:vAlign w:val="center"/>
          </w:tcPr>
          <w:p>
            <w:pPr>
              <w:jc w:val="center"/>
              <w:rPr>
                <w:sz w:val="20"/>
              </w:rPr>
            </w:pPr>
            <w:r>
              <w:rPr>
                <w:sz w:val="20"/>
              </w:rPr>
              <w:t>组长</w:t>
            </w:r>
          </w:p>
        </w:tc>
        <w:tc>
          <w:tcPr>
            <w:tcW w:w="1277" w:type="dxa"/>
            <w:vAlign w:val="center"/>
          </w:tcPr>
          <w:p>
            <w:pPr>
              <w:jc w:val="center"/>
              <w:rPr>
                <w:sz w:val="20"/>
              </w:rPr>
            </w:pPr>
            <w:r>
              <w:rPr>
                <w:sz w:val="20"/>
              </w:rPr>
              <w:t>审核员</w:t>
            </w:r>
          </w:p>
        </w:tc>
        <w:tc>
          <w:tcPr>
            <w:tcW w:w="1699" w:type="dxa"/>
            <w:vAlign w:val="center"/>
          </w:tcPr>
          <w:p>
            <w:pPr>
              <w:jc w:val="center"/>
              <w:rPr>
                <w:sz w:val="20"/>
              </w:rPr>
            </w:pPr>
            <w:r>
              <w:rPr>
                <w:sz w:val="20"/>
              </w:rPr>
              <w:t>2019-N1QMS-3072033</w:t>
            </w:r>
          </w:p>
        </w:tc>
        <w:tc>
          <w:tcPr>
            <w:tcW w:w="1331" w:type="dxa"/>
            <w:gridSpan w:val="2"/>
            <w:vAlign w:val="center"/>
          </w:tcPr>
          <w:p>
            <w:pPr>
              <w:jc w:val="center"/>
              <w:rPr>
                <w:sz w:val="20"/>
              </w:rPr>
            </w:pPr>
          </w:p>
        </w:tc>
        <w:tc>
          <w:tcPr>
            <w:tcW w:w="2126" w:type="dxa"/>
            <w:gridSpan w:val="2"/>
            <w:vAlign w:val="center"/>
          </w:tcPr>
          <w:p>
            <w:pPr>
              <w:jc w:val="center"/>
              <w:rPr>
                <w:sz w:val="20"/>
              </w:rPr>
            </w:pPr>
            <w:r>
              <w:rPr>
                <w:sz w:val="20"/>
              </w:rPr>
              <w:t>ISC-72033</w:t>
            </w: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sz w:val="20"/>
              </w:rPr>
            </w:pPr>
            <w:r>
              <w:rPr>
                <w:sz w:val="20"/>
              </w:rPr>
              <w:t>王海燕</w:t>
            </w:r>
          </w:p>
        </w:tc>
        <w:tc>
          <w:tcPr>
            <w:tcW w:w="824" w:type="dxa"/>
            <w:gridSpan w:val="2"/>
            <w:vAlign w:val="center"/>
          </w:tcPr>
          <w:p>
            <w:pPr>
              <w:jc w:val="center"/>
              <w:rPr>
                <w:sz w:val="20"/>
              </w:rPr>
            </w:pPr>
            <w:r>
              <w:rPr>
                <w:sz w:val="20"/>
              </w:rPr>
              <w:t>女</w:t>
            </w:r>
          </w:p>
        </w:tc>
        <w:tc>
          <w:tcPr>
            <w:tcW w:w="1559" w:type="dxa"/>
            <w:vAlign w:val="center"/>
          </w:tcPr>
          <w:p>
            <w:pPr>
              <w:jc w:val="center"/>
              <w:rPr>
                <w:sz w:val="20"/>
              </w:rPr>
            </w:pPr>
            <w:r>
              <w:rPr>
                <w:sz w:val="20"/>
              </w:rPr>
              <w:t>组员</w:t>
            </w:r>
          </w:p>
        </w:tc>
        <w:tc>
          <w:tcPr>
            <w:tcW w:w="1277" w:type="dxa"/>
            <w:vAlign w:val="center"/>
          </w:tcPr>
          <w:p>
            <w:pPr>
              <w:jc w:val="center"/>
              <w:rPr>
                <w:sz w:val="20"/>
              </w:rPr>
            </w:pPr>
            <w:r>
              <w:rPr>
                <w:sz w:val="20"/>
              </w:rPr>
              <w:t>审核员</w:t>
            </w:r>
          </w:p>
        </w:tc>
        <w:tc>
          <w:tcPr>
            <w:tcW w:w="1699" w:type="dxa"/>
            <w:vAlign w:val="center"/>
          </w:tcPr>
          <w:p>
            <w:pPr>
              <w:jc w:val="center"/>
              <w:rPr>
                <w:sz w:val="20"/>
              </w:rPr>
            </w:pPr>
            <w:r>
              <w:rPr>
                <w:sz w:val="20"/>
              </w:rPr>
              <w:t>2019-N1QMS-2102147</w:t>
            </w:r>
          </w:p>
        </w:tc>
        <w:tc>
          <w:tcPr>
            <w:tcW w:w="1331" w:type="dxa"/>
            <w:gridSpan w:val="2"/>
            <w:vAlign w:val="center"/>
          </w:tcPr>
          <w:p>
            <w:pPr>
              <w:jc w:val="center"/>
              <w:rPr>
                <w:sz w:val="20"/>
              </w:rPr>
            </w:pPr>
          </w:p>
        </w:tc>
        <w:tc>
          <w:tcPr>
            <w:tcW w:w="2126" w:type="dxa"/>
            <w:gridSpan w:val="2"/>
            <w:vAlign w:val="center"/>
          </w:tcPr>
          <w:p>
            <w:pPr>
              <w:jc w:val="center"/>
              <w:rPr>
                <w:sz w:val="20"/>
              </w:rPr>
            </w:pPr>
            <w:r>
              <w:rPr>
                <w:sz w:val="20"/>
              </w:rPr>
              <w:t>ISC-102147</w:t>
            </w: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sz w:val="20"/>
              </w:rPr>
            </w:pPr>
            <w:r>
              <w:rPr>
                <w:sz w:val="20"/>
              </w:rPr>
              <w:t>张慧琴</w:t>
            </w:r>
          </w:p>
        </w:tc>
        <w:tc>
          <w:tcPr>
            <w:tcW w:w="824" w:type="dxa"/>
            <w:gridSpan w:val="2"/>
            <w:vAlign w:val="center"/>
          </w:tcPr>
          <w:p>
            <w:pPr>
              <w:jc w:val="center"/>
              <w:rPr>
                <w:sz w:val="20"/>
              </w:rPr>
            </w:pPr>
            <w:r>
              <w:rPr>
                <w:sz w:val="20"/>
              </w:rPr>
              <w:t>女</w:t>
            </w:r>
          </w:p>
        </w:tc>
        <w:tc>
          <w:tcPr>
            <w:tcW w:w="1559" w:type="dxa"/>
            <w:vAlign w:val="center"/>
          </w:tcPr>
          <w:p>
            <w:pPr>
              <w:jc w:val="center"/>
              <w:rPr>
                <w:sz w:val="20"/>
              </w:rPr>
            </w:pPr>
            <w:r>
              <w:rPr>
                <w:sz w:val="20"/>
              </w:rPr>
              <w:t>组员</w:t>
            </w:r>
          </w:p>
        </w:tc>
        <w:tc>
          <w:tcPr>
            <w:tcW w:w="1277" w:type="dxa"/>
            <w:vAlign w:val="center"/>
          </w:tcPr>
          <w:p>
            <w:pPr>
              <w:jc w:val="center"/>
              <w:rPr>
                <w:sz w:val="20"/>
              </w:rPr>
            </w:pPr>
            <w:r>
              <w:rPr>
                <w:sz w:val="20"/>
              </w:rPr>
              <w:t>专家</w:t>
            </w:r>
          </w:p>
          <w:p>
            <w:pPr>
              <w:jc w:val="center"/>
              <w:rPr>
                <w:sz w:val="20"/>
              </w:rPr>
            </w:pPr>
          </w:p>
        </w:tc>
        <w:tc>
          <w:tcPr>
            <w:tcW w:w="1699" w:type="dxa"/>
            <w:vAlign w:val="center"/>
          </w:tcPr>
          <w:p>
            <w:pPr>
              <w:jc w:val="center"/>
              <w:rPr>
                <w:sz w:val="20"/>
              </w:rPr>
            </w:pPr>
            <w:r>
              <w:rPr>
                <w:sz w:val="20"/>
              </w:rPr>
              <w:t>ISC-JSZJ-133</w:t>
            </w:r>
          </w:p>
          <w:p>
            <w:pPr>
              <w:jc w:val="center"/>
              <w:rPr>
                <w:sz w:val="20"/>
              </w:rPr>
            </w:pPr>
            <w:r>
              <w:rPr>
                <w:sz w:val="20"/>
              </w:rPr>
              <w:t>西部矿业集团科技发展有限公司</w:t>
            </w:r>
          </w:p>
        </w:tc>
        <w:tc>
          <w:tcPr>
            <w:tcW w:w="1331" w:type="dxa"/>
            <w:gridSpan w:val="2"/>
            <w:vAlign w:val="center"/>
          </w:tcPr>
          <w:p>
            <w:pPr>
              <w:jc w:val="center"/>
              <w:rPr>
                <w:sz w:val="20"/>
              </w:rPr>
            </w:pPr>
            <w:r>
              <w:rPr>
                <w:sz w:val="20"/>
              </w:rPr>
              <w:t>34.02.00</w:t>
            </w:r>
          </w:p>
        </w:tc>
        <w:tc>
          <w:tcPr>
            <w:tcW w:w="2126" w:type="dxa"/>
            <w:gridSpan w:val="2"/>
            <w:vAlign w:val="center"/>
          </w:tcPr>
          <w:p>
            <w:pPr>
              <w:jc w:val="center"/>
              <w:rPr>
                <w:sz w:val="20"/>
              </w:rPr>
            </w:pPr>
            <w:r>
              <w:rPr>
                <w:sz w:val="20"/>
              </w:rPr>
              <w:t>ISC-JSZJ-133</w:t>
            </w:r>
            <w:r>
              <w:rPr>
                <w:rFonts w:hint="eastAsia"/>
                <w:sz w:val="20"/>
                <w:lang w:eastAsia="zh-CN"/>
              </w:rPr>
              <w:t>（</w:t>
            </w:r>
            <w:r>
              <w:rPr>
                <w:rFonts w:hint="eastAsia"/>
                <w:sz w:val="20"/>
                <w:lang w:val="en-US" w:eastAsia="zh-CN"/>
              </w:rPr>
              <w:t>C</w:t>
            </w:r>
            <w:r>
              <w:rPr>
                <w:rFonts w:hint="eastAsia"/>
                <w:sz w:val="20"/>
                <w:lang w:eastAsia="zh-CN"/>
              </w:rPr>
              <w:t>）</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9001:2015标准不适用条款: </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r>
        <w:rPr>
          <w:rFonts w:hint="eastAsia"/>
          <w:b/>
          <w:sz w:val="21"/>
          <w:szCs w:val="21"/>
        </w:rPr>
        <w:t>□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rPr>
                <w:rFonts w:ascii="宋体"/>
                <w:b/>
                <w:sz w:val="21"/>
              </w:rPr>
            </w:pPr>
            <w:bookmarkStart w:id="7" w:name="组织名称Add"/>
            <w:r>
              <w:rPr>
                <w:rFonts w:ascii="宋体"/>
                <w:b/>
                <w:sz w:val="21"/>
              </w:rPr>
              <w:t>青海西部矿业工程技术研究有限公司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ind w:firstLine="211" w:firstLineChars="100"/>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8" w:name="注册地址"/>
            <w:r>
              <w:rPr>
                <w:rFonts w:ascii="宋体"/>
                <w:b/>
                <w:sz w:val="21"/>
              </w:rPr>
              <w:t>西宁经济技术开发区金桥路30号</w:t>
            </w:r>
            <w:bookmarkEnd w:id="8"/>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810001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0" w:name="办公地址"/>
            <w:r>
              <w:rPr>
                <w:rFonts w:ascii="宋体"/>
                <w:b/>
                <w:sz w:val="21"/>
              </w:rPr>
              <w:t>西宁经济技术开发区金桥路30号</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810000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2" w:name="生产地址Add"/>
            <w:r>
              <w:rPr>
                <w:rFonts w:ascii="宋体"/>
                <w:b/>
                <w:sz w:val="21"/>
              </w:rPr>
              <w:t>西宁经济技术开发区金桥路30号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810000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4" w:name="联系人"/>
            <w:r>
              <w:rPr>
                <w:rFonts w:ascii="宋体"/>
                <w:b/>
                <w:sz w:val="21"/>
              </w:rPr>
              <w:t>王茂盛</w:t>
            </w:r>
            <w:bookmarkEnd w:id="14"/>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13709714834</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田贵有</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王茂盛</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w:t>
            </w:r>
            <w:r>
              <w:rPr>
                <w:rFonts w:hint="eastAsia" w:ascii="宋体" w:hAnsi="宋体"/>
                <w:b/>
                <w:sz w:val="21"/>
                <w:szCs w:val="21"/>
                <w:lang w:val="en-US" w:eastAsia="zh-CN"/>
              </w:rPr>
              <w:t>1</w:t>
            </w:r>
            <w:r>
              <w:rPr>
                <w:rFonts w:ascii="宋体" w:hAnsi="宋体"/>
                <w:b/>
                <w:sz w:val="21"/>
                <w:szCs w:val="21"/>
              </w:rPr>
              <w:t>年</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2</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午至202</w:t>
            </w:r>
            <w:r>
              <w:rPr>
                <w:rFonts w:hint="eastAsia" w:ascii="宋体" w:hAnsi="宋体"/>
                <w:b/>
                <w:sz w:val="21"/>
                <w:szCs w:val="21"/>
                <w:lang w:val="en-US" w:eastAsia="zh-CN"/>
              </w:rPr>
              <w:t>1</w:t>
            </w:r>
            <w:r>
              <w:rPr>
                <w:rFonts w:ascii="宋体" w:hAnsi="宋体"/>
                <w:b/>
                <w:sz w:val="21"/>
                <w:szCs w:val="21"/>
              </w:rPr>
              <w:t>年</w:t>
            </w:r>
            <w:r>
              <w:rPr>
                <w:rFonts w:hint="eastAsia" w:ascii="宋体" w:hAnsi="宋体"/>
                <w:b/>
                <w:sz w:val="21"/>
                <w:szCs w:val="21"/>
                <w:lang w:val="en-US" w:eastAsia="zh-CN"/>
              </w:rPr>
              <w:t>8</w:t>
            </w:r>
            <w:r>
              <w:rPr>
                <w:rFonts w:ascii="宋体" w:hAnsi="宋体"/>
                <w:b/>
                <w:sz w:val="21"/>
                <w:szCs w:val="21"/>
              </w:rPr>
              <w:t>月</w:t>
            </w:r>
            <w:r>
              <w:rPr>
                <w:rFonts w:hint="eastAsia" w:ascii="宋体" w:hAnsi="宋体"/>
                <w:b/>
                <w:sz w:val="21"/>
                <w:szCs w:val="21"/>
                <w:lang w:val="en-US" w:eastAsia="zh-CN"/>
              </w:rPr>
              <w:t>2</w:t>
            </w:r>
            <w:r>
              <w:rPr>
                <w:rFonts w:ascii="宋体" w:hAnsi="宋体"/>
                <w:b/>
                <w:sz w:val="21"/>
                <w:szCs w:val="21"/>
              </w:rPr>
              <w:t>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bookmarkStart w:id="22" w:name="审核范围"/>
            <w:r>
              <w:rPr>
                <w:rFonts w:ascii="宋体" w:hAnsi="宋体"/>
                <w:b/>
                <w:color w:val="000000" w:themeColor="text1"/>
                <w:sz w:val="20"/>
                <w:szCs w:val="20"/>
              </w:rPr>
              <w:t>金属矿产品、地矿产品、化工原料及产品、环境样品、金属与合金材料的分析检测</w:t>
            </w:r>
            <w:bookmarkEnd w:id="22"/>
            <w:r>
              <w:rPr>
                <w:rFonts w:hint="eastAsia" w:ascii="宋体" w:hAnsi="宋体"/>
                <w:b/>
                <w:color w:val="000000" w:themeColor="text1"/>
                <w:sz w:val="20"/>
                <w:szCs w:val="20"/>
                <w:lang w:eastAsia="zh-CN"/>
              </w:rPr>
              <w:t>。</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5" w:name="专业代码"/>
            <w:r>
              <w:rPr>
                <w:rFonts w:ascii="宋体" w:hAnsi="宋体"/>
                <w:b/>
                <w:sz w:val="21"/>
                <w:szCs w:val="21"/>
              </w:rPr>
              <w:t>34.02.00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ascii="宋体" w:hAnsi="宋体"/>
                <w:b/>
                <w:sz w:val="21"/>
                <w:szCs w:val="21"/>
              </w:rPr>
            </w:pPr>
            <w:r>
              <w:rPr>
                <w:rFonts w:ascii="Helvetica" w:hAnsi="Helvetica" w:eastAsia="Helvetica" w:cs="Helvetica"/>
                <w:i w:val="0"/>
                <w:caps w:val="0"/>
                <w:color w:val="000000"/>
                <w:spacing w:val="0"/>
                <w:sz w:val="14"/>
                <w:szCs w:val="14"/>
                <w:shd w:val="clear" w:fill="FFFFFF"/>
              </w:rPr>
              <w:t>2022-10-10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hint="eastAsia" w:ascii="Helvetica" w:hAnsi="Helvetica" w:eastAsia="宋体" w:cs="Helvetica"/>
                <w:i w:val="0"/>
                <w:caps w:val="0"/>
                <w:color w:val="000000"/>
                <w:spacing w:val="0"/>
                <w:sz w:val="14"/>
                <w:szCs w:val="14"/>
                <w:shd w:val="clear" w:fill="FFFFFF"/>
                <w:lang w:eastAsia="zh-CN"/>
              </w:rPr>
            </w:pPr>
            <w:r>
              <w:rPr>
                <w:rFonts w:ascii="Helvetica" w:hAnsi="Helvetica" w:eastAsia="Helvetica" w:cs="Helvetica"/>
                <w:i w:val="0"/>
                <w:caps w:val="0"/>
                <w:color w:val="000000"/>
                <w:spacing w:val="0"/>
                <w:sz w:val="14"/>
                <w:szCs w:val="14"/>
                <w:shd w:val="clear" w:fill="FFFFFF"/>
              </w:rPr>
              <w:t>20</w:t>
            </w:r>
            <w:r>
              <w:rPr>
                <w:rFonts w:hint="eastAsia" w:ascii="Helvetica" w:hAnsi="Helvetica" w:eastAsia="宋体" w:cs="Helvetica"/>
                <w:i w:val="0"/>
                <w:caps w:val="0"/>
                <w:color w:val="000000"/>
                <w:spacing w:val="0"/>
                <w:sz w:val="14"/>
                <w:szCs w:val="14"/>
                <w:shd w:val="clear" w:fill="FFFFFF"/>
                <w:lang w:val="en-US" w:eastAsia="zh-CN"/>
              </w:rPr>
              <w:t>20</w:t>
            </w:r>
            <w:r>
              <w:rPr>
                <w:rFonts w:ascii="Helvetica" w:hAnsi="Helvetica" w:eastAsia="Helvetica" w:cs="Helvetica"/>
                <w:i w:val="0"/>
                <w:caps w:val="0"/>
                <w:color w:val="000000"/>
                <w:spacing w:val="0"/>
                <w:sz w:val="14"/>
                <w:szCs w:val="14"/>
                <w:shd w:val="clear" w:fill="FFFFFF"/>
              </w:rPr>
              <w:t>-</w:t>
            </w:r>
            <w:r>
              <w:rPr>
                <w:rFonts w:hint="eastAsia" w:ascii="Helvetica" w:hAnsi="Helvetica" w:eastAsia="宋体" w:cs="Helvetica"/>
                <w:i w:val="0"/>
                <w:caps w:val="0"/>
                <w:color w:val="000000"/>
                <w:spacing w:val="0"/>
                <w:sz w:val="14"/>
                <w:szCs w:val="14"/>
                <w:shd w:val="clear" w:fill="FFFFFF"/>
                <w:lang w:val="en-US" w:eastAsia="zh-CN"/>
              </w:rPr>
              <w:t>11</w:t>
            </w:r>
            <w:r>
              <w:rPr>
                <w:rFonts w:ascii="Helvetica" w:hAnsi="Helvetica" w:eastAsia="Helvetica" w:cs="Helvetica"/>
                <w:i w:val="0"/>
                <w:caps w:val="0"/>
                <w:color w:val="000000"/>
                <w:spacing w:val="0"/>
                <w:sz w:val="14"/>
                <w:szCs w:val="14"/>
                <w:shd w:val="clear" w:fill="FFFFFF"/>
              </w:rPr>
              <w:t>-</w:t>
            </w:r>
            <w:r>
              <w:rPr>
                <w:rFonts w:hint="eastAsia" w:ascii="Helvetica" w:hAnsi="Helvetica" w:eastAsia="宋体" w:cs="Helvetica"/>
                <w:i w:val="0"/>
                <w:caps w:val="0"/>
                <w:color w:val="000000"/>
                <w:spacing w:val="0"/>
                <w:sz w:val="14"/>
                <w:szCs w:val="14"/>
                <w:shd w:val="clear" w:fill="FFFFFF"/>
                <w:lang w:val="en-US" w:eastAsia="zh-CN"/>
              </w:rPr>
              <w:t>8</w:t>
            </w:r>
            <w:r>
              <w:rPr>
                <w:rFonts w:ascii="Helvetica" w:hAnsi="Helvetica" w:eastAsia="Helvetica" w:cs="Helvetica"/>
                <w:i w:val="0"/>
                <w:caps w:val="0"/>
                <w:color w:val="000000"/>
                <w:spacing w:val="0"/>
                <w:sz w:val="14"/>
                <w:szCs w:val="14"/>
                <w:shd w:val="clear" w:fill="FFFFFF"/>
              </w:rPr>
              <w:t>-- 20</w:t>
            </w:r>
            <w:r>
              <w:rPr>
                <w:rFonts w:hint="eastAsia" w:ascii="Helvetica" w:hAnsi="Helvetica" w:eastAsia="宋体" w:cs="Helvetica"/>
                <w:i w:val="0"/>
                <w:caps w:val="0"/>
                <w:color w:val="000000"/>
                <w:spacing w:val="0"/>
                <w:sz w:val="14"/>
                <w:szCs w:val="14"/>
                <w:shd w:val="clear" w:fill="FFFFFF"/>
                <w:lang w:val="en-US" w:eastAsia="zh-CN"/>
              </w:rPr>
              <w:t>20</w:t>
            </w:r>
            <w:r>
              <w:rPr>
                <w:rFonts w:ascii="Helvetica" w:hAnsi="Helvetica" w:eastAsia="Helvetica" w:cs="Helvetica"/>
                <w:i w:val="0"/>
                <w:caps w:val="0"/>
                <w:color w:val="000000"/>
                <w:spacing w:val="0"/>
                <w:sz w:val="14"/>
                <w:szCs w:val="14"/>
                <w:shd w:val="clear" w:fill="FFFFFF"/>
              </w:rPr>
              <w:t>-</w:t>
            </w:r>
            <w:r>
              <w:rPr>
                <w:rFonts w:hint="eastAsia" w:ascii="Helvetica" w:hAnsi="Helvetica" w:eastAsia="宋体" w:cs="Helvetica"/>
                <w:i w:val="0"/>
                <w:caps w:val="0"/>
                <w:color w:val="000000"/>
                <w:spacing w:val="0"/>
                <w:sz w:val="14"/>
                <w:szCs w:val="14"/>
                <w:shd w:val="clear" w:fill="FFFFFF"/>
                <w:lang w:val="en-US" w:eastAsia="zh-CN"/>
              </w:rPr>
              <w:t>11</w:t>
            </w:r>
            <w:r>
              <w:rPr>
                <w:rFonts w:ascii="Helvetica" w:hAnsi="Helvetica" w:eastAsia="Helvetica" w:cs="Helvetica"/>
                <w:i w:val="0"/>
                <w:caps w:val="0"/>
                <w:color w:val="000000"/>
                <w:spacing w:val="0"/>
                <w:sz w:val="14"/>
                <w:szCs w:val="14"/>
                <w:shd w:val="clear" w:fill="FFFFFF"/>
              </w:rPr>
              <w:t>-</w:t>
            </w:r>
            <w:r>
              <w:rPr>
                <w:rFonts w:hint="eastAsia" w:ascii="Helvetica" w:hAnsi="Helvetica" w:eastAsia="宋体" w:cs="Helvetica"/>
                <w:i w:val="0"/>
                <w:caps w:val="0"/>
                <w:color w:val="000000"/>
                <w:spacing w:val="0"/>
                <w:sz w:val="14"/>
                <w:szCs w:val="14"/>
                <w:shd w:val="clear" w:fill="FFFFFF"/>
                <w:lang w:val="en-US" w:eastAsia="zh-CN"/>
              </w:rPr>
              <w:t>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line="360" w:lineRule="exact"/>
        <w:rPr>
          <w:rFonts w:hint="eastAsia" w:ascii="宋体" w:hAnsi="宋体" w:eastAsia="宋体"/>
          <w:b w:val="0"/>
          <w:bCs/>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ascii="宋体" w:hAnsi="宋体"/>
          <w:b w:val="0"/>
          <w:bCs/>
          <w:color w:val="000000" w:themeColor="text1"/>
          <w:sz w:val="20"/>
          <w:szCs w:val="20"/>
        </w:rPr>
        <w:t>金属矿产品、地矿产品、化工原料及产品、环境样品、金属与合金材料的分析检测</w:t>
      </w:r>
      <w:r>
        <w:rPr>
          <w:rFonts w:hint="eastAsia" w:ascii="宋体" w:hAnsi="宋体"/>
          <w:b w:val="0"/>
          <w:bCs/>
          <w:color w:val="000000" w:themeColor="text1"/>
          <w:sz w:val="20"/>
          <w:szCs w:val="20"/>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b w:val="0"/>
                <w:bCs/>
                <w:color w:val="000000" w:themeColor="text1"/>
                <w:sz w:val="20"/>
                <w:szCs w:val="20"/>
              </w:rPr>
              <w:t>经营范围：金属矿产品、地矿产品、化工原料及产品、环境样品、金属与合金材料的分析检测。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提供了《组织内外部环境因素识别表》：</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内部环境：资源因素－公司提供符合金属矿产品、地矿产品、化工原料及产品、环境样品、金属与合金材料的分析检测的场所，配备适宜的硬件和软件设施设备。信息来源：设施设备清单－具体现状描述：本公司设施设备可以确保金属矿产品、地矿产品、化工原料及产品、环境样品、金属与合金材料的分析检测，基本的质量控制要求－SWOT分析：WT……</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外部环境：竞争力－公司类别：金属矿产品、地矿产品、化工原料及产品、环境样品、金属与合金材料的分析检测，当前市场占有率不高，其他类似企业比较多－信息来源：市场调查和分析－具体现状描述：本公司产品质量稳定，但在市场中同行也多，竞争压力大－SWOT分析：ST……</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b w:val="0"/>
                <w:bCs/>
                <w:color w:val="000000" w:themeColor="text1"/>
                <w:sz w:val="20"/>
                <w:szCs w:val="20"/>
              </w:rPr>
              <w:t>相关方包括顾客、所有者、组织中的成员、供应商、银行、工会、合伙人、竞争对手或社会团体或行业协会。在每年的管理评审前，由相关部门负责人进行识别并评估其适用性,具体部门及识别见管理评审输入。主要顾客群：矿业公司、盐业公司等</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相关方期望或要求监测与更新：管理者代表每年在管理评审前组织一次全面的内外部内外部环境要素识别与评审。</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各部门在获得内外部环境要素信息变化时，应及时告知管理者代表，由管理者代表对《相关方期望或要求识别表》进行修订。</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b w:val="0"/>
                <w:bCs/>
                <w:color w:val="000000" w:themeColor="text1"/>
                <w:sz w:val="20"/>
                <w:szCs w:val="20"/>
              </w:rPr>
              <w:t>管理方针：科学公正、 准确及时、 满意高效 、持续改进，通过质量管理手册的分发和开会等沟通使全体员工理解方针，通过内审和管理评审保持方针的适宜性和有效性。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b w:val="0"/>
                <w:bCs/>
                <w:color w:val="000000" w:themeColor="text1"/>
                <w:sz w:val="20"/>
                <w:szCs w:val="20"/>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b w:val="0"/>
                <w:bCs/>
                <w:color w:val="000000" w:themeColor="text1"/>
                <w:sz w:val="20"/>
                <w:szCs w:val="20"/>
              </w:rPr>
              <w:t>制定了《风险和机遇的应对控制程序》，明确风险和机遇事件的识别方法/途径、风险和机遇事件的评估方式、制定主要风险和机遇事件的应对措施的要求、评价这些措施有效性的方法。</w:t>
            </w:r>
          </w:p>
          <w:p>
            <w:pPr>
              <w:spacing w:line="280" w:lineRule="exact"/>
              <w:rPr>
                <w:rFonts w:hint="eastAsia"/>
                <w:b w:val="0"/>
                <w:bCs/>
                <w:color w:val="000000" w:themeColor="text1"/>
                <w:sz w:val="20"/>
                <w:szCs w:val="20"/>
              </w:rPr>
            </w:pPr>
            <w:r>
              <w:rPr>
                <w:rFonts w:hint="eastAsia"/>
                <w:b w:val="0"/>
                <w:bCs/>
                <w:color w:val="000000" w:themeColor="text1"/>
                <w:sz w:val="20"/>
                <w:szCs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80" w:lineRule="exact"/>
              <w:rPr>
                <w:rFonts w:hint="eastAsia"/>
                <w:b w:val="0"/>
                <w:bCs/>
                <w:color w:val="000000" w:themeColor="text1"/>
                <w:sz w:val="20"/>
                <w:szCs w:val="20"/>
              </w:rPr>
            </w:pPr>
            <w:r>
              <w:rPr>
                <w:rFonts w:hint="eastAsia"/>
                <w:b w:val="0"/>
                <w:bCs/>
                <w:color w:val="000000" w:themeColor="text1"/>
                <w:sz w:val="20"/>
                <w:szCs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rPr>
                <w:rFonts w:hint="eastAsia" w:ascii="宋体" w:hAnsi="宋体" w:eastAsia="宋体"/>
                <w:b/>
                <w:sz w:val="21"/>
                <w:szCs w:val="21"/>
                <w:lang w:eastAsia="zh-CN"/>
              </w:rPr>
            </w:pPr>
            <w:r>
              <w:rPr>
                <w:rFonts w:hint="eastAsia"/>
                <w:b w:val="0"/>
                <w:bCs/>
                <w:color w:val="000000" w:themeColor="text1"/>
                <w:sz w:val="20"/>
                <w:szCs w:val="20"/>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eastAsia="宋体"/>
                <w:b/>
                <w:sz w:val="21"/>
                <w:szCs w:val="21"/>
                <w:lang w:eastAsia="zh-CN"/>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r>
              <w:rPr>
                <w:rFonts w:hint="eastAsia" w:ascii="宋体" w:hAnsi="宋体"/>
                <w:b/>
                <w:sz w:val="21"/>
                <w:szCs w:val="21"/>
                <w:lang w:eastAsia="zh-CN"/>
              </w:rPr>
              <w:t>：</w:t>
            </w:r>
          </w:p>
          <w:p>
            <w:pPr>
              <w:tabs>
                <w:tab w:val="left" w:pos="540"/>
              </w:tabs>
              <w:spacing w:line="300" w:lineRule="exact"/>
              <w:ind w:left="201" w:hanging="201" w:hangingChars="100"/>
              <w:rPr>
                <w:rFonts w:ascii="宋体" w:hAnsi="宋体"/>
                <w:b w:val="0"/>
                <w:bCs/>
                <w:color w:val="000000" w:themeColor="text1"/>
                <w:sz w:val="20"/>
                <w:szCs w:val="20"/>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rPr>
              <w:t xml:space="preserve"> 检测过程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rPr>
              <w:t>检测服务过程</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不适用条款是 8.3   ，不适用理由：</w:t>
            </w:r>
            <w:r>
              <w:rPr>
                <w:rFonts w:hint="eastAsia" w:ascii="宋体" w:hAnsi="宋体"/>
                <w:b w:val="0"/>
                <w:bCs/>
                <w:color w:val="000000" w:themeColor="text1"/>
                <w:sz w:val="20"/>
                <w:szCs w:val="20"/>
              </w:rPr>
              <w:t>金属矿产品、地矿产品、化工原料及产品、环境样品、金属与合金材料的分析检测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b w:val="0"/>
                <w:bCs/>
                <w:color w:val="000000" w:themeColor="text1"/>
                <w:sz w:val="20"/>
                <w:szCs w:val="20"/>
              </w:rPr>
              <w:t>在公司各职能和层次上建立了质量目标，并制定了相应考核办法。基本适宜公司特点。目标具有可测量性，对目标完成情况进行了考核。对制订的管理方案实施情况定期进行检查。目前目标均考核完成。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val="0"/>
                <w:bCs/>
                <w:color w:val="000000" w:themeColor="text1"/>
                <w:sz w:val="20"/>
                <w:szCs w:val="20"/>
              </w:rPr>
            </w:pPr>
            <w:r>
              <w:rPr>
                <w:rFonts w:ascii="宋体" w:hAnsi="宋体"/>
                <w:b/>
                <w:color w:val="000000" w:themeColor="text1"/>
                <w:sz w:val="20"/>
                <w:szCs w:val="20"/>
              </w:rPr>
              <w:t xml:space="preserve"> </w:t>
            </w:r>
            <w:r>
              <w:rPr>
                <w:rFonts w:hint="eastAsia" w:ascii="宋体" w:hAnsi="宋体"/>
                <w:b w:val="0"/>
                <w:bCs/>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rPr>
                <w:rFonts w:ascii="宋体" w:hAnsi="宋体"/>
                <w:b/>
                <w:sz w:val="21"/>
                <w:szCs w:val="21"/>
              </w:rPr>
            </w:pPr>
            <w:r>
              <w:rPr>
                <w:rFonts w:hint="eastAsia" w:ascii="宋体" w:hAnsi="宋体"/>
                <w:b w:val="0"/>
                <w:bCs/>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ind w:firstLine="400"/>
              <w:rPr>
                <w:rFonts w:ascii="宋体" w:hAnsi="宋体"/>
                <w:b w:val="0"/>
                <w:bCs/>
                <w:sz w:val="21"/>
                <w:szCs w:val="21"/>
              </w:rPr>
            </w:pPr>
            <w:r>
              <w:rPr>
                <w:rFonts w:hint="eastAsia" w:ascii="宋体" w:hAnsi="宋体"/>
                <w:b/>
                <w:sz w:val="21"/>
                <w:szCs w:val="21"/>
              </w:rPr>
              <w:t>人力资源的简要说明</w:t>
            </w:r>
            <w:r>
              <w:rPr>
                <w:rFonts w:ascii="宋体" w:hAnsi="宋体"/>
                <w:b/>
                <w:sz w:val="21"/>
                <w:szCs w:val="21"/>
              </w:rPr>
              <w:t>.:</w:t>
            </w:r>
            <w:r>
              <w:rPr>
                <w:rFonts w:hint="eastAsia" w:ascii="宋体" w:hAnsi="宋体"/>
                <w:b w:val="0"/>
                <w:bCs/>
                <w:color w:val="000000" w:themeColor="text1"/>
                <w:sz w:val="20"/>
                <w:szCs w:val="20"/>
              </w:rPr>
              <w:t>该公司员工1</w:t>
            </w:r>
            <w:r>
              <w:rPr>
                <w:rFonts w:ascii="宋体" w:hAnsi="宋体"/>
                <w:b w:val="0"/>
                <w:bCs/>
                <w:color w:val="000000" w:themeColor="text1"/>
                <w:sz w:val="20"/>
                <w:szCs w:val="20"/>
              </w:rPr>
              <w:t>5</w:t>
            </w:r>
            <w:r>
              <w:rPr>
                <w:rFonts w:hint="eastAsia" w:ascii="宋体" w:hAnsi="宋体"/>
                <w:b w:val="0"/>
                <w:bCs/>
                <w:color w:val="000000" w:themeColor="text1"/>
                <w:sz w:val="20"/>
                <w:szCs w:val="20"/>
              </w:rPr>
              <w:t>人，管理人员</w:t>
            </w:r>
            <w:r>
              <w:rPr>
                <w:rFonts w:ascii="宋体" w:hAnsi="宋体"/>
                <w:b w:val="0"/>
                <w:bCs/>
                <w:color w:val="000000" w:themeColor="text1"/>
                <w:sz w:val="20"/>
                <w:szCs w:val="20"/>
              </w:rPr>
              <w:t>5</w:t>
            </w:r>
            <w:r>
              <w:rPr>
                <w:rFonts w:hint="eastAsia" w:ascii="宋体" w:hAnsi="宋体"/>
                <w:b w:val="0"/>
                <w:bCs/>
                <w:color w:val="000000" w:themeColor="text1"/>
                <w:sz w:val="20"/>
                <w:szCs w:val="20"/>
              </w:rPr>
              <w:t>人。检测人员等持证上岗。人员进行安全教育，人力资源满足要求。无特殊工种。</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r>
              <w:rPr>
                <w:rFonts w:hint="eastAsia" w:ascii="宋体" w:hAnsi="宋体"/>
                <w:b w:val="0"/>
                <w:bCs/>
                <w:color w:val="000000" w:themeColor="text1"/>
                <w:sz w:val="20"/>
                <w:szCs w:val="20"/>
              </w:rPr>
              <w:t>主要生产设备：监视和测量设备等，对设备制定维修保养计划、按计划机械维修和保养并提供维修记录和验收记录，设备适宜。办公设备维护正常。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宋体" w:hAnsi="宋体"/>
                <w:b w:val="0"/>
                <w:bCs/>
                <w:color w:val="000000" w:themeColor="text1"/>
                <w:sz w:val="20"/>
                <w:szCs w:val="20"/>
              </w:rPr>
              <w:t>试验检测过程的温度和湿度符合要求。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b w:val="0"/>
                <w:bCs/>
                <w:color w:val="000000" w:themeColor="text1"/>
                <w:sz w:val="20"/>
                <w:szCs w:val="20"/>
              </w:rPr>
              <w:t>美国热电iCAP-7400电子耦合等离子体原子发射光谱仪、德国vario TOC（总有机碳分析仪）、美国热电ICE3300型原子吸收分光光度计、GGX-600型原子吸收分光光度计、AFS-933型原子荧光光度计、722S 型可见光分光光度计、Molelement 1810D超纯水机、LS-pop(6)激光粒度分析仪、梅特勒-托利多AR2141电子天平等，品种、规格能够满足产品符合性要求。检定时间有效，见复印件。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val="0"/>
                <w:bCs/>
                <w:sz w:val="21"/>
                <w:szCs w:val="21"/>
                <w:lang w:eastAsia="zh-CN"/>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b w:val="0"/>
                <w:bCs/>
                <w:color w:val="000000" w:themeColor="text1"/>
                <w:sz w:val="20"/>
                <w:szCs w:val="20"/>
              </w:rPr>
              <w:t>公司确定运行过程所需的知识，内部来源包括公司运作准则（管理制度、工作记录、检测分析结果等）、专业技术应用、过程管理等。外部来源包括外来资料、法律法规、市场信息等。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lang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eastAsia="zh-CN"/>
              </w:rPr>
              <w:t>：</w:t>
            </w:r>
          </w:p>
          <w:p>
            <w:pPr>
              <w:spacing w:line="300" w:lineRule="exact"/>
              <w:ind w:left="1"/>
              <w:rPr>
                <w:b w:val="0"/>
                <w:bCs/>
                <w:color w:val="000000" w:themeColor="text1"/>
                <w:sz w:val="20"/>
                <w:szCs w:val="20"/>
              </w:rPr>
            </w:pPr>
            <w:r>
              <w:rPr>
                <w:rFonts w:hint="eastAsia"/>
                <w:b w:val="0"/>
                <w:bCs/>
                <w:color w:val="000000" w:themeColor="text1"/>
                <w:sz w:val="20"/>
                <w:szCs w:val="20"/>
              </w:rPr>
              <w:t>1. 管理方针：“科学公正、 准确及时、 满意高效 、持续改进”</w:t>
            </w:r>
          </w:p>
          <w:p>
            <w:pPr>
              <w:spacing w:line="300" w:lineRule="exact"/>
              <w:ind w:left="1"/>
              <w:rPr>
                <w:b w:val="0"/>
                <w:bCs/>
                <w:color w:val="000000" w:themeColor="text1"/>
                <w:sz w:val="20"/>
                <w:szCs w:val="20"/>
              </w:rPr>
            </w:pPr>
            <w:r>
              <w:rPr>
                <w:rFonts w:hint="eastAsia"/>
                <w:b w:val="0"/>
                <w:bCs/>
                <w:color w:val="000000" w:themeColor="text1"/>
                <w:sz w:val="20"/>
                <w:szCs w:val="20"/>
              </w:rPr>
              <w:t>2. 管理方针与企业的经营宗旨相适应，协调；</w:t>
            </w:r>
          </w:p>
          <w:p>
            <w:pPr>
              <w:spacing w:line="300" w:lineRule="exact"/>
              <w:ind w:left="1"/>
              <w:rPr>
                <w:rFonts w:hint="eastAsia" w:ascii="宋体" w:hAnsi="宋体" w:eastAsia="宋体"/>
                <w:b/>
                <w:sz w:val="21"/>
                <w:szCs w:val="21"/>
                <w:lang w:eastAsia="zh-CN"/>
              </w:rPr>
            </w:pPr>
            <w:r>
              <w:rPr>
                <w:rFonts w:hint="eastAsia"/>
                <w:b w:val="0"/>
                <w:bCs/>
                <w:color w:val="000000" w:themeColor="text1"/>
                <w:sz w:val="20"/>
                <w:szCs w:val="20"/>
              </w:rPr>
              <w:t>3. 通过会议传达，沟通，让全体员工理解执行。并定期进行评审（一般一年一次）。20</w:t>
            </w:r>
            <w:r>
              <w:rPr>
                <w:rFonts w:hint="eastAsia"/>
                <w:b w:val="0"/>
                <w:bCs/>
                <w:color w:val="000000" w:themeColor="text1"/>
                <w:sz w:val="20"/>
                <w:szCs w:val="20"/>
                <w:lang w:val="en-US" w:eastAsia="zh-CN"/>
              </w:rPr>
              <w:t>21</w:t>
            </w:r>
            <w:r>
              <w:rPr>
                <w:rFonts w:hint="eastAsia"/>
                <w:b w:val="0"/>
                <w:bCs/>
                <w:color w:val="000000" w:themeColor="text1"/>
                <w:sz w:val="20"/>
                <w:szCs w:val="20"/>
              </w:rPr>
              <w:t>年</w:t>
            </w:r>
            <w:r>
              <w:rPr>
                <w:b w:val="0"/>
                <w:bCs/>
                <w:color w:val="000000" w:themeColor="text1"/>
                <w:sz w:val="20"/>
                <w:szCs w:val="20"/>
              </w:rPr>
              <w:t>6</w:t>
            </w:r>
            <w:r>
              <w:rPr>
                <w:rFonts w:hint="eastAsia"/>
                <w:b w:val="0"/>
                <w:bCs/>
                <w:color w:val="000000" w:themeColor="text1"/>
                <w:sz w:val="20"/>
                <w:szCs w:val="20"/>
              </w:rPr>
              <w:t>月</w:t>
            </w:r>
            <w:r>
              <w:rPr>
                <w:b w:val="0"/>
                <w:bCs/>
                <w:color w:val="000000" w:themeColor="text1"/>
                <w:sz w:val="20"/>
                <w:szCs w:val="20"/>
              </w:rPr>
              <w:t>8</w:t>
            </w:r>
            <w:r>
              <w:rPr>
                <w:rFonts w:hint="eastAsia"/>
                <w:b w:val="0"/>
                <w:bCs/>
                <w:color w:val="000000" w:themeColor="text1"/>
                <w:sz w:val="20"/>
                <w:szCs w:val="20"/>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300" w:lineRule="exact"/>
              <w:ind w:left="1"/>
              <w:rPr>
                <w:b w:val="0"/>
                <w:bCs/>
                <w:color w:val="000000" w:themeColor="text1"/>
                <w:sz w:val="20"/>
                <w:szCs w:val="20"/>
              </w:rPr>
            </w:pPr>
            <w:r>
              <w:rPr>
                <w:rFonts w:hint="eastAsia"/>
                <w:b/>
                <w:color w:val="000000" w:themeColor="text1"/>
                <w:sz w:val="20"/>
                <w:szCs w:val="20"/>
              </w:rPr>
              <w:t>内部沟通的情况：部沟通的情况：内部沟通方式：</w:t>
            </w:r>
            <w:r>
              <w:rPr>
                <w:rFonts w:hint="eastAsia"/>
                <w:b w:val="0"/>
                <w:bCs/>
                <w:color w:val="000000" w:themeColor="text1"/>
                <w:sz w:val="20"/>
                <w:szCs w:val="20"/>
              </w:rPr>
              <w:t>会议、公告栏、发放文件、网络等</w:t>
            </w:r>
          </w:p>
          <w:p>
            <w:pPr>
              <w:spacing w:line="300" w:lineRule="exact"/>
              <w:ind w:left="1"/>
              <w:rPr>
                <w:b w:val="0"/>
                <w:bCs/>
                <w:color w:val="000000" w:themeColor="text1"/>
                <w:sz w:val="20"/>
                <w:szCs w:val="20"/>
              </w:rPr>
            </w:pPr>
            <w:r>
              <w:rPr>
                <w:rFonts w:hint="eastAsia"/>
                <w:b/>
                <w:color w:val="000000" w:themeColor="text1"/>
                <w:sz w:val="20"/>
                <w:szCs w:val="20"/>
              </w:rPr>
              <w:t>内部沟通的效果：</w:t>
            </w:r>
            <w:r>
              <w:rPr>
                <w:rFonts w:hint="eastAsia"/>
                <w:b w:val="0"/>
                <w:bCs/>
                <w:color w:val="000000" w:themeColor="text1"/>
                <w:sz w:val="20"/>
                <w:szCs w:val="20"/>
              </w:rPr>
              <w:t>能够得到有效沟通</w:t>
            </w:r>
          </w:p>
          <w:p>
            <w:pPr>
              <w:spacing w:line="300" w:lineRule="exact"/>
              <w:ind w:left="1"/>
              <w:rPr>
                <w:b w:val="0"/>
                <w:bCs/>
                <w:color w:val="000000" w:themeColor="text1"/>
                <w:sz w:val="20"/>
                <w:szCs w:val="20"/>
              </w:rPr>
            </w:pPr>
            <w:r>
              <w:rPr>
                <w:rFonts w:hint="eastAsia"/>
                <w:b/>
                <w:color w:val="000000" w:themeColor="text1"/>
                <w:sz w:val="20"/>
                <w:szCs w:val="20"/>
              </w:rPr>
              <w:t>公司对外联络，关注顾客的感受情况（QMS）：</w:t>
            </w:r>
            <w:r>
              <w:rPr>
                <w:rFonts w:hint="eastAsia"/>
                <w:b w:val="0"/>
                <w:bCs/>
                <w:color w:val="000000" w:themeColor="text1"/>
                <w:sz w:val="20"/>
                <w:szCs w:val="20"/>
              </w:rPr>
              <w:t>顾客满意度调查表的发放、电话回访、到顾客现场进行询问等形式</w:t>
            </w:r>
          </w:p>
          <w:p>
            <w:pPr>
              <w:spacing w:line="300" w:lineRule="exact"/>
              <w:ind w:left="1"/>
              <w:rPr>
                <w:b/>
                <w:color w:val="000000" w:themeColor="text1"/>
                <w:sz w:val="20"/>
                <w:szCs w:val="20"/>
              </w:rPr>
            </w:pPr>
            <w:r>
              <w:rPr>
                <w:rFonts w:hint="eastAsia"/>
                <w:b/>
                <w:color w:val="000000" w:themeColor="text1"/>
                <w:sz w:val="20"/>
                <w:szCs w:val="20"/>
              </w:rPr>
              <w:t>外部信息的接收、成文并答复的情况（E、S填写）： /</w:t>
            </w:r>
          </w:p>
          <w:p>
            <w:pPr>
              <w:spacing w:line="300" w:lineRule="exact"/>
              <w:ind w:left="1"/>
              <w:rPr>
                <w:b/>
                <w:color w:val="000000" w:themeColor="text1"/>
                <w:sz w:val="20"/>
                <w:szCs w:val="20"/>
              </w:rPr>
            </w:pPr>
            <w:r>
              <w:rPr>
                <w:rFonts w:hint="eastAsia"/>
                <w:b/>
                <w:color w:val="000000" w:themeColor="text1"/>
                <w:sz w:val="20"/>
                <w:szCs w:val="20"/>
              </w:rPr>
              <w:t>重要环境因素信息对外交流情况（EMS填写）： /</w:t>
            </w:r>
          </w:p>
          <w:p>
            <w:pPr>
              <w:spacing w:line="300" w:lineRule="exact"/>
              <w:ind w:left="1"/>
              <w:rPr>
                <w:b/>
                <w:color w:val="000000" w:themeColor="text1"/>
                <w:sz w:val="20"/>
                <w:szCs w:val="20"/>
              </w:rPr>
            </w:pPr>
            <w:r>
              <w:rPr>
                <w:rFonts w:hint="eastAsia"/>
                <w:b/>
                <w:color w:val="000000" w:themeColor="text1"/>
                <w:sz w:val="20"/>
                <w:szCs w:val="20"/>
              </w:rPr>
              <w:t xml:space="preserve"> OHSMS事务代表协商和交流的情况（OHSMS填写）： /</w:t>
            </w:r>
          </w:p>
          <w:p>
            <w:pPr>
              <w:spacing w:line="240" w:lineRule="exact"/>
              <w:rPr>
                <w:rFonts w:ascii="宋体" w:hAnsi="宋体"/>
                <w:b/>
                <w:sz w:val="21"/>
                <w:szCs w:val="21"/>
              </w:rPr>
            </w:pPr>
            <w:r>
              <w:rPr>
                <w:rFonts w:hint="eastAsia"/>
                <w:b/>
                <w:color w:val="000000" w:themeColor="text1"/>
                <w:sz w:val="20"/>
                <w:szCs w:val="20"/>
              </w:rPr>
              <w:t>与相关方协商的情况（OHSMS填写）：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b w:val="0"/>
                <w:bCs/>
                <w:color w:val="000000" w:themeColor="text1"/>
                <w:sz w:val="20"/>
                <w:szCs w:val="20"/>
              </w:rPr>
              <w:t>公司识别关键过程：检测过程；需要确认的过程：检测服务过程，未对检查服务过程进行进行确认，开具不符合项报告。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val="0"/>
                <w:bCs/>
                <w:sz w:val="21"/>
                <w:szCs w:val="21"/>
              </w:rPr>
            </w:pPr>
            <w:r>
              <w:rPr>
                <w:rFonts w:hint="eastAsia"/>
                <w:b w:val="0"/>
                <w:bCs/>
                <w:color w:val="000000" w:themeColor="text1"/>
                <w:sz w:val="20"/>
                <w:szCs w:val="20"/>
              </w:rPr>
              <w:t>能稳定向顾客提供满意的检测服务。对顾客进行满意度调查，顾客满意率9</w:t>
            </w:r>
            <w:r>
              <w:rPr>
                <w:b w:val="0"/>
                <w:bCs/>
                <w:color w:val="000000" w:themeColor="text1"/>
                <w:sz w:val="20"/>
                <w:szCs w:val="20"/>
              </w:rPr>
              <w:t>7</w:t>
            </w:r>
            <w:r>
              <w:rPr>
                <w:rFonts w:hint="eastAsia"/>
                <w:b w:val="0"/>
                <w:bCs/>
                <w:color w:val="000000" w:themeColor="text1"/>
                <w:sz w:val="20"/>
                <w:szCs w:val="20"/>
              </w:rPr>
              <w:t>%，并进行了简要分析。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01" w:firstLineChars="100"/>
              <w:rPr>
                <w:rFonts w:ascii="宋体" w:hAnsi="宋体"/>
                <w:b w:val="0"/>
                <w:bCs/>
                <w:sz w:val="21"/>
                <w:szCs w:val="21"/>
              </w:rPr>
            </w:pPr>
            <w:r>
              <w:rPr>
                <w:b/>
                <w:color w:val="000000" w:themeColor="text1"/>
                <w:sz w:val="20"/>
                <w:szCs w:val="20"/>
              </w:rPr>
              <w:t xml:space="preserve"> </w:t>
            </w:r>
            <w:r>
              <w:rPr>
                <w:rFonts w:hint="eastAsia"/>
                <w:b w:val="0"/>
                <w:bCs/>
                <w:color w:val="000000" w:themeColor="text1"/>
                <w:sz w:val="20"/>
                <w:szCs w:val="20"/>
              </w:rPr>
              <w:t>国家认可部门组织的能力验证，评价结果满意，每年进行一次。</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rFonts w:hint="eastAsia"/>
                <w:b w:val="0"/>
                <w:bCs/>
                <w:color w:val="000000" w:themeColor="text1"/>
                <w:sz w:val="20"/>
                <w:szCs w:val="20"/>
              </w:rPr>
              <w:t>能对发现的不符合项及时进行纠正和控制。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hint="eastAsia" w:ascii="宋体" w:hAnsi="宋体" w:eastAsia="宋体"/>
                <w:b w:val="0"/>
                <w:bCs/>
                <w:sz w:val="21"/>
                <w:szCs w:val="21"/>
                <w:lang w:eastAsia="zh-CN"/>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r>
              <w:rPr>
                <w:rFonts w:hint="eastAsia" w:ascii="宋体" w:hAnsi="宋体"/>
                <w:b/>
                <w:sz w:val="21"/>
                <w:szCs w:val="21"/>
                <w:lang w:eastAsia="zh-CN"/>
              </w:rPr>
              <w:t>：</w:t>
            </w:r>
            <w:r>
              <w:rPr>
                <w:b/>
                <w:color w:val="000000" w:themeColor="text1"/>
                <w:spacing w:val="-4"/>
                <w:sz w:val="20"/>
                <w:szCs w:val="20"/>
              </w:rPr>
              <w:t xml:space="preserve"> </w:t>
            </w:r>
            <w:r>
              <w:rPr>
                <w:rFonts w:hint="eastAsia"/>
                <w:b w:val="0"/>
                <w:bCs/>
                <w:color w:val="000000" w:themeColor="text1"/>
                <w:spacing w:val="-4"/>
                <w:sz w:val="20"/>
                <w:szCs w:val="20"/>
              </w:rPr>
              <w:t>制定《突发事故应急预案》包括火灾、爆炸、危险化学品泄漏、中毒、灼烫伤、触电等，并对火灾、灼伤进行演练。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val="0"/>
                <w:bCs/>
                <w:sz w:val="21"/>
                <w:szCs w:val="21"/>
                <w:lang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w:t>
            </w:r>
            <w:r>
              <w:rPr>
                <w:rFonts w:hint="eastAsia"/>
                <w:b w:val="0"/>
                <w:bCs/>
                <w:color w:val="000000" w:themeColor="text1"/>
                <w:sz w:val="20"/>
                <w:szCs w:val="20"/>
              </w:rPr>
              <w:t>无特种设备</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对危险化学品使用、储存、运输处置控制满足要求。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b w:val="0"/>
                <w:bCs/>
                <w:color w:val="000000" w:themeColor="text1"/>
                <w:sz w:val="20"/>
                <w:szCs w:val="20"/>
              </w:rPr>
              <w:t>对质量目标进行了考核，查到20</w:t>
            </w:r>
            <w:r>
              <w:rPr>
                <w:rFonts w:hint="eastAsia"/>
                <w:b w:val="0"/>
                <w:bCs/>
                <w:color w:val="000000" w:themeColor="text1"/>
                <w:sz w:val="20"/>
                <w:szCs w:val="20"/>
                <w:lang w:val="en-US" w:eastAsia="zh-CN"/>
              </w:rPr>
              <w:t>21</w:t>
            </w:r>
            <w:r>
              <w:rPr>
                <w:rFonts w:hint="eastAsia"/>
                <w:b w:val="0"/>
                <w:bCs/>
                <w:color w:val="000000" w:themeColor="text1"/>
                <w:sz w:val="20"/>
                <w:szCs w:val="20"/>
              </w:rPr>
              <w:t>年第一、二季度公司及各部门完成情况，各项质量目标均已完成。目标具备可测量性。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b w:val="0"/>
                <w:bCs/>
                <w:color w:val="000000" w:themeColor="text1"/>
                <w:sz w:val="20"/>
                <w:szCs w:val="20"/>
              </w:rPr>
              <w:t>能稳定向顾客提供较满意的生产服务。对顾客进行满意度调查，并进行了简要分析。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00" w:firstLineChars="200"/>
              <w:rPr>
                <w:rFonts w:ascii="宋体" w:hAnsi="宋体"/>
                <w:b/>
                <w:sz w:val="21"/>
                <w:szCs w:val="21"/>
              </w:rPr>
            </w:pPr>
            <w:r>
              <w:rPr>
                <w:rFonts w:hint="eastAsia"/>
                <w:b w:val="0"/>
                <w:bCs/>
                <w:color w:val="000000" w:themeColor="text1"/>
                <w:sz w:val="20"/>
                <w:szCs w:val="20"/>
              </w:rPr>
              <w:t>本年度内审已按计划实施，内审策划审核方案中考虑了拟审核的过程和区域的状况和重要性，内审时间20</w:t>
            </w:r>
            <w:r>
              <w:rPr>
                <w:rFonts w:hint="eastAsia"/>
                <w:b w:val="0"/>
                <w:bCs/>
                <w:color w:val="000000" w:themeColor="text1"/>
                <w:sz w:val="20"/>
                <w:szCs w:val="20"/>
                <w:lang w:val="en-US" w:eastAsia="zh-CN"/>
              </w:rPr>
              <w:t>21</w:t>
            </w:r>
            <w:r>
              <w:rPr>
                <w:rFonts w:hint="eastAsia"/>
                <w:b w:val="0"/>
                <w:bCs/>
                <w:color w:val="000000" w:themeColor="text1"/>
                <w:sz w:val="20"/>
                <w:szCs w:val="20"/>
              </w:rPr>
              <w:t>.0</w:t>
            </w:r>
            <w:r>
              <w:rPr>
                <w:b w:val="0"/>
                <w:bCs/>
                <w:color w:val="000000" w:themeColor="text1"/>
                <w:sz w:val="20"/>
                <w:szCs w:val="20"/>
              </w:rPr>
              <w:t>5</w:t>
            </w:r>
            <w:r>
              <w:rPr>
                <w:rFonts w:hint="eastAsia"/>
                <w:b w:val="0"/>
                <w:bCs/>
                <w:color w:val="000000" w:themeColor="text1"/>
                <w:sz w:val="20"/>
                <w:szCs w:val="20"/>
              </w:rPr>
              <w:t>.</w:t>
            </w:r>
            <w:r>
              <w:rPr>
                <w:b w:val="0"/>
                <w:bCs/>
                <w:color w:val="000000" w:themeColor="text1"/>
                <w:sz w:val="20"/>
                <w:szCs w:val="20"/>
              </w:rPr>
              <w:t>16</w:t>
            </w:r>
            <w:r>
              <w:rPr>
                <w:rFonts w:hint="eastAsia"/>
                <w:b w:val="0"/>
                <w:bCs/>
                <w:color w:val="000000" w:themeColor="text1"/>
                <w:sz w:val="20"/>
                <w:szCs w:val="20"/>
              </w:rPr>
              <w:t>-</w:t>
            </w:r>
            <w:r>
              <w:rPr>
                <w:b w:val="0"/>
                <w:bCs/>
                <w:color w:val="000000" w:themeColor="text1"/>
                <w:sz w:val="20"/>
                <w:szCs w:val="20"/>
              </w:rPr>
              <w:t>17</w:t>
            </w:r>
            <w:r>
              <w:rPr>
                <w:rFonts w:hint="eastAsia"/>
                <w:b w:val="0"/>
                <w:bCs/>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00" w:firstLineChars="200"/>
              <w:rPr>
                <w:rFonts w:ascii="宋体" w:hAnsi="宋体"/>
                <w:b/>
                <w:sz w:val="21"/>
                <w:szCs w:val="21"/>
              </w:rPr>
            </w:pP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21</w:t>
            </w:r>
            <w:r>
              <w:rPr>
                <w:rFonts w:hint="eastAsia"/>
                <w:b w:val="0"/>
                <w:bCs/>
                <w:color w:val="000000" w:themeColor="text1"/>
                <w:sz w:val="20"/>
                <w:szCs w:val="20"/>
              </w:rPr>
              <w:t>年</w:t>
            </w:r>
            <w:r>
              <w:rPr>
                <w:b w:val="0"/>
                <w:bCs/>
                <w:color w:val="000000" w:themeColor="text1"/>
                <w:sz w:val="20"/>
                <w:szCs w:val="20"/>
              </w:rPr>
              <w:t>6</w:t>
            </w:r>
            <w:r>
              <w:rPr>
                <w:rFonts w:hint="eastAsia"/>
                <w:b w:val="0"/>
                <w:bCs/>
                <w:color w:val="000000" w:themeColor="text1"/>
                <w:sz w:val="20"/>
                <w:szCs w:val="20"/>
              </w:rPr>
              <w:t>月</w:t>
            </w:r>
            <w:r>
              <w:rPr>
                <w:b w:val="0"/>
                <w:bCs/>
                <w:color w:val="000000" w:themeColor="text1"/>
                <w:sz w:val="20"/>
                <w:szCs w:val="20"/>
              </w:rPr>
              <w:t>8</w:t>
            </w:r>
            <w:r>
              <w:rPr>
                <w:rFonts w:hint="eastAsia"/>
                <w:b w:val="0"/>
                <w:bCs/>
                <w:color w:val="000000" w:themeColor="text1"/>
                <w:sz w:val="20"/>
                <w:szCs w:val="20"/>
              </w:rPr>
              <w:t>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b w:val="0"/>
                <w:bCs/>
                <w:color w:val="000000" w:themeColor="text1"/>
                <w:sz w:val="20"/>
                <w:szCs w:val="20"/>
              </w:rPr>
              <w:t>荣获“2</w:t>
            </w:r>
            <w:r>
              <w:rPr>
                <w:b w:val="0"/>
                <w:bCs/>
                <w:color w:val="000000" w:themeColor="text1"/>
                <w:sz w:val="20"/>
                <w:szCs w:val="20"/>
              </w:rPr>
              <w:t>018</w:t>
            </w:r>
            <w:r>
              <w:rPr>
                <w:rFonts w:hint="eastAsia"/>
                <w:b w:val="0"/>
                <w:bCs/>
                <w:color w:val="000000" w:themeColor="text1"/>
                <w:sz w:val="20"/>
                <w:szCs w:val="20"/>
              </w:rPr>
              <w:t>年度青海省质量管理小组二等奖”、“2</w:t>
            </w:r>
            <w:r>
              <w:rPr>
                <w:b w:val="0"/>
                <w:bCs/>
                <w:color w:val="000000" w:themeColor="text1"/>
                <w:sz w:val="20"/>
                <w:szCs w:val="20"/>
              </w:rPr>
              <w:t>019</w:t>
            </w:r>
            <w:r>
              <w:rPr>
                <w:rFonts w:hint="eastAsia"/>
                <w:b w:val="0"/>
                <w:bCs/>
                <w:color w:val="000000" w:themeColor="text1"/>
                <w:sz w:val="20"/>
                <w:szCs w:val="20"/>
              </w:rPr>
              <w:t>年度青海省质量信得过优秀班组奖”等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b/>
                <w:color w:val="000000" w:themeColor="text1"/>
                <w:sz w:val="20"/>
                <w:szCs w:val="20"/>
              </w:rPr>
              <w:t xml:space="preserve"> </w:t>
            </w:r>
            <w:r>
              <w:rPr>
                <w:rFonts w:hint="eastAsia"/>
                <w:b w:val="0"/>
                <w:bCs/>
                <w:color w:val="000000" w:themeColor="text1"/>
                <w:sz w:val="20"/>
                <w:szCs w:val="20"/>
              </w:rPr>
              <w:t>对内审</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外审</w:t>
            </w:r>
            <w:r>
              <w:rPr>
                <w:rFonts w:hint="eastAsia"/>
                <w:b w:val="0"/>
                <w:bCs/>
                <w:color w:val="000000" w:themeColor="text1"/>
                <w:sz w:val="20"/>
                <w:szCs w:val="20"/>
              </w:rPr>
              <w:t>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方正仿宋简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val="en-US" w:eastAsia="zh-CN"/>
              </w:rPr>
              <w:t>上次不符合项：</w:t>
            </w:r>
            <w:r>
              <w:rPr>
                <w:rFonts w:hint="eastAsia" w:ascii="方正仿宋简体" w:eastAsia="方正仿宋简体"/>
                <w:b w:val="0"/>
                <w:bCs/>
              </w:rPr>
              <w:t>未能提供检查服务过程确认的证据</w:t>
            </w:r>
            <w:r>
              <w:rPr>
                <w:rFonts w:hint="eastAsia" w:ascii="方正仿宋简体" w:eastAsia="方正仿宋简体"/>
                <w:b w:val="0"/>
                <w:bCs/>
                <w:lang w:eastAsia="zh-CN"/>
              </w:rPr>
              <w:t>。</w:t>
            </w:r>
            <w:r>
              <w:rPr>
                <w:rFonts w:hint="eastAsia" w:ascii="方正仿宋简体" w:eastAsia="方正仿宋简体"/>
                <w:b w:val="0"/>
                <w:bCs/>
                <w:lang w:val="en-US" w:eastAsia="zh-CN"/>
              </w:rPr>
              <w:t>经现场检查，已经对检查服务过程进行确认。</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00" w:firstLineChars="100"/>
              <w:rPr>
                <w:rFonts w:ascii="宋体" w:hAnsi="宋体"/>
                <w:b w:val="0"/>
                <w:bCs/>
                <w:szCs w:val="21"/>
              </w:rPr>
            </w:pPr>
            <w:r>
              <w:rPr>
                <w:rFonts w:hint="eastAsia"/>
                <w:b w:val="0"/>
                <w:bCs/>
                <w:color w:val="000000" w:themeColor="text1"/>
                <w:sz w:val="20"/>
                <w:szCs w:val="20"/>
              </w:rPr>
              <w:t>该公司建立并实施的质量管理体系基本符合标准要求，对可能存在的重要风险基本可以得到有效控制，检测质量稳定，没有出现过质量安全事故以及顾客投诉等事件，该公司建立了自我完善和自我改进机制，质量管理体系运行基本有效。现场</w:t>
            </w:r>
            <w:r>
              <w:rPr>
                <w:rFonts w:hint="eastAsia"/>
                <w:b w:val="0"/>
                <w:bCs/>
                <w:color w:val="000000" w:themeColor="text1"/>
                <w:sz w:val="20"/>
                <w:szCs w:val="20"/>
                <w:lang w:val="en-US" w:eastAsia="zh-CN"/>
              </w:rPr>
              <w:t>没有</w:t>
            </w:r>
            <w:r>
              <w:rPr>
                <w:rFonts w:hint="eastAsia"/>
                <w:b w:val="0"/>
                <w:bCs/>
                <w:color w:val="000000" w:themeColor="text1"/>
                <w:sz w:val="20"/>
                <w:szCs w:val="20"/>
              </w:rPr>
              <w:t>开具不符合</w:t>
            </w:r>
            <w:r>
              <w:rPr>
                <w:rFonts w:hint="eastAsia"/>
                <w:b w:val="0"/>
                <w:bCs/>
                <w:color w:val="000000" w:themeColor="text1"/>
                <w:sz w:val="20"/>
                <w:szCs w:val="20"/>
                <w:lang w:eastAsia="zh-CN"/>
              </w:rPr>
              <w:t>，</w:t>
            </w:r>
            <w:r>
              <w:rPr>
                <w:rFonts w:hint="eastAsia"/>
                <w:b w:val="0"/>
                <w:bCs/>
                <w:color w:val="000000" w:themeColor="text1"/>
                <w:sz w:val="20"/>
                <w:szCs w:val="20"/>
              </w:rPr>
              <w:t>同意推荐该公司质量管理体系</w:t>
            </w:r>
            <w:r>
              <w:rPr>
                <w:rFonts w:hint="eastAsia"/>
                <w:b w:val="0"/>
                <w:bCs/>
                <w:color w:val="000000" w:themeColor="text1"/>
                <w:sz w:val="20"/>
                <w:szCs w:val="20"/>
                <w:lang w:val="en-US" w:eastAsia="zh-CN"/>
              </w:rPr>
              <w:t>保持</w:t>
            </w:r>
            <w:r>
              <w:rPr>
                <w:rFonts w:hint="eastAsia"/>
                <w:b w:val="0"/>
                <w:bCs/>
                <w:color w:val="000000" w:themeColor="text1"/>
                <w:sz w:val="20"/>
                <w:szCs w:val="20"/>
              </w:rPr>
              <w:t>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1" locked="0" layoutInCell="1" allowOverlap="1">
            <wp:simplePos x="0" y="0"/>
            <wp:positionH relativeFrom="column">
              <wp:posOffset>1839595</wp:posOffset>
            </wp:positionH>
            <wp:positionV relativeFrom="paragraph">
              <wp:posOffset>169545</wp:posOffset>
            </wp:positionV>
            <wp:extent cx="590550" cy="402590"/>
            <wp:effectExtent l="0" t="0" r="6350" b="3810"/>
            <wp:wrapTight wrapText="bothSides">
              <wp:wrapPolygon>
                <wp:start x="0" y="0"/>
                <wp:lineTo x="0" y="21123"/>
                <wp:lineTo x="21368" y="21123"/>
                <wp:lineTo x="2136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0" y="0"/>
                      <a:ext cx="590550" cy="4025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default" w:eastAsia="宋体"/>
          <w:b/>
          <w:sz w:val="21"/>
          <w:lang w:val="en-US" w:eastAsia="zh-CN"/>
        </w:rPr>
        <w:drawing>
          <wp:anchor distT="0" distB="0" distL="114300" distR="114300" simplePos="0" relativeHeight="251662336" behindDoc="0" locked="0" layoutInCell="1" allowOverlap="1">
            <wp:simplePos x="0" y="0"/>
            <wp:positionH relativeFrom="column">
              <wp:posOffset>2664460</wp:posOffset>
            </wp:positionH>
            <wp:positionV relativeFrom="paragraph">
              <wp:posOffset>75565</wp:posOffset>
            </wp:positionV>
            <wp:extent cx="856615" cy="382270"/>
            <wp:effectExtent l="0" t="0" r="6985" b="11430"/>
            <wp:wrapSquare wrapText="bothSides"/>
            <wp:docPr id="3" name="图片 3" descr="1627896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7896479(1)"/>
                    <pic:cNvPicPr>
                      <a:picLocks noChangeAspect="1"/>
                    </pic:cNvPicPr>
                  </pic:nvPicPr>
                  <pic:blipFill>
                    <a:blip r:embed="rId7">
                      <a:lum bright="48000"/>
                    </a:blip>
                    <a:stretch>
                      <a:fillRect/>
                    </a:stretch>
                  </pic:blipFill>
                  <pic:spPr>
                    <a:xfrm>
                      <a:off x="0" y="0"/>
                      <a:ext cx="856615" cy="38227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default" w:eastAsia="宋体"/>
          <w:b/>
          <w:sz w:val="21"/>
          <w:lang w:val="en-US" w:eastAsia="zh-CN"/>
        </w:rPr>
      </w:pPr>
      <w:r>
        <w:rPr>
          <w:rFonts w:hint="eastAsia"/>
          <w:b/>
          <w:sz w:val="21"/>
        </w:rPr>
        <w:t>审核组组员（签名）：</w:t>
      </w:r>
      <w:r>
        <w:rPr>
          <w:rFonts w:hint="eastAsia"/>
          <w:b/>
          <w:sz w:val="21"/>
          <w:lang w:val="en-US" w:eastAsia="zh-CN"/>
        </w:rPr>
        <w:t xml:space="preserve"> </w:t>
      </w:r>
      <w:r>
        <w:drawing>
          <wp:inline distT="0" distB="0" distL="114300" distR="114300">
            <wp:extent cx="571500" cy="2667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71500" cy="266700"/>
                    </a:xfrm>
                    <a:prstGeom prst="rect">
                      <a:avLst/>
                    </a:prstGeom>
                    <a:noFill/>
                    <a:ln>
                      <a:noFill/>
                    </a:ln>
                  </pic:spPr>
                </pic:pic>
              </a:graphicData>
            </a:graphic>
          </wp:inline>
        </w:drawing>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rFonts w:hint="eastAsia"/>
          <w:b/>
          <w:sz w:val="21"/>
          <w:szCs w:val="21"/>
        </w:rPr>
      </w:pPr>
      <w:r>
        <w:rPr>
          <w:b/>
          <w:sz w:val="21"/>
          <w:szCs w:val="21"/>
        </w:rPr>
        <w:t>2.</w:t>
      </w:r>
      <w:r>
        <w:rPr>
          <w:rFonts w:hint="eastAsia"/>
          <w:b/>
          <w:sz w:val="21"/>
          <w:szCs w:val="21"/>
        </w:rPr>
        <w:t>验证结论：</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661312" behindDoc="1" locked="0" layoutInCell="1" allowOverlap="1">
            <wp:simplePos x="0" y="0"/>
            <wp:positionH relativeFrom="column">
              <wp:posOffset>1232535</wp:posOffset>
            </wp:positionH>
            <wp:positionV relativeFrom="paragraph">
              <wp:posOffset>182880</wp:posOffset>
            </wp:positionV>
            <wp:extent cx="744855" cy="508000"/>
            <wp:effectExtent l="0" t="0" r="4445" b="0"/>
            <wp:wrapTight wrapText="bothSides">
              <wp:wrapPolygon>
                <wp:start x="0" y="0"/>
                <wp:lineTo x="0" y="21060"/>
                <wp:lineTo x="21361" y="21060"/>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r>
        <w:rPr>
          <w:rFonts w:hint="eastAsia"/>
          <w:b/>
          <w:sz w:val="21"/>
          <w:szCs w:val="21"/>
        </w:rPr>
        <w:t>组长签字：</w:t>
      </w:r>
      <w:r>
        <w:rPr>
          <w:rFonts w:hint="eastAsia"/>
          <w:b/>
          <w:sz w:val="21"/>
          <w:szCs w:val="21"/>
          <w:lang w:val="en-US" w:eastAsia="zh-CN"/>
        </w:rPr>
        <w:t xml:space="preserve">                      日期：2021.8.2   </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rFonts w:hint="eastAsia" w:ascii="方正仿宋简体" w:eastAsia="方正仿宋简体"/>
          <w:b/>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snapToGrid w:val="0"/>
        <w:jc w:val="left"/>
        <w:rPr>
          <w:rFonts w:hint="eastAsia" w:ascii="方正仿宋简体" w:eastAsia="方正仿宋简体"/>
          <w:b/>
        </w:rPr>
      </w:pPr>
      <w:bookmarkStart w:id="26" w:name="_GoBack"/>
      <w:bookmarkEnd w:id="26"/>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F1033F"/>
    <w:rsid w:val="22476AAA"/>
    <w:rsid w:val="232F384C"/>
    <w:rsid w:val="27FD6D27"/>
    <w:rsid w:val="51553845"/>
    <w:rsid w:val="7BFF1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2021-08-06T08:46:49Z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6BA8CC766E994AF991942CCBAB4366A9</vt:lpwstr>
  </property>
</Properties>
</file>