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2"/>
        <w:gridCol w:w="1290"/>
        <w:gridCol w:w="1505"/>
        <w:gridCol w:w="1234"/>
        <w:gridCol w:w="486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重庆市圆丰除尘技术有限责任公司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产品销售流程图: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接受意向订单—— 合同评审——签单 —— 组织货源——验收--交付 。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销售为关键过程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也是需确认过程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火灾、</w:t>
            </w:r>
            <w:r>
              <w:rPr>
                <w:rFonts w:hint="eastAsia" w:cs="Times New Roman"/>
                <w:szCs w:val="22"/>
                <w:lang w:val="en-US" w:eastAsia="zh-CN"/>
              </w:rPr>
              <w:t>触电、交通事故造成的人身伤害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中华人民共和国产品质量法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中华人民共和国大气污染防治法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中华人民共和国环境噪声污染防治法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104775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111125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2021年8月4日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2021年8月4</w:t>
      </w:r>
      <w:bookmarkStart w:id="6" w:name="_GoBack"/>
      <w:bookmarkEnd w:id="6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884445"/>
    <w:rsid w:val="137E6338"/>
    <w:rsid w:val="28CA199D"/>
    <w:rsid w:val="4C1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2021-08-02T06:11:30Z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445244FBCABC43C982D08404694AE23D</vt:lpwstr>
  </property>
</Properties>
</file>