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rFonts w:hint="eastAsia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  <w:lang w:eastAsia="zh-CN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  <w:lang w:val="en-US" w:eastAsia="zh-CN"/>
        </w:rPr>
        <w:t>En</w:t>
      </w:r>
      <w:r>
        <w:rPr>
          <w:rFonts w:hint="eastAsia"/>
          <w:b/>
          <w:sz w:val="22"/>
          <w:szCs w:val="22"/>
        </w:rPr>
        <w:t>MS</w:t>
      </w:r>
      <w:r>
        <w:rPr>
          <w:rFonts w:hint="eastAsia"/>
          <w:b/>
          <w:sz w:val="22"/>
          <w:szCs w:val="22"/>
          <w:lang w:val="en-US" w:eastAsia="zh-CN"/>
        </w:rPr>
        <w:t xml:space="preserve"> </w:t>
      </w:r>
      <w:bookmarkStart w:id="5" w:name="F勾选"/>
      <w:r>
        <w:rPr>
          <w:rFonts w:hint="eastAsia"/>
          <w:b/>
          <w:sz w:val="22"/>
          <w:szCs w:val="22"/>
          <w:lang w:eastAsia="zh-CN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>
      <w:pPr>
        <w:rPr>
          <w:rFonts w:hint="eastAsia"/>
          <w:b/>
          <w:sz w:val="22"/>
          <w:szCs w:val="22"/>
        </w:rPr>
      </w:pPr>
    </w:p>
    <w:tbl>
      <w:tblPr>
        <w:tblStyle w:val="7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343"/>
        <w:gridCol w:w="1187"/>
        <w:gridCol w:w="5"/>
        <w:gridCol w:w="1285"/>
        <w:gridCol w:w="1505"/>
        <w:gridCol w:w="195"/>
        <w:gridCol w:w="1525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5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重庆鼎信微电子有限公司</w:t>
            </w:r>
            <w:bookmarkEnd w:id="7"/>
          </w:p>
        </w:tc>
        <w:tc>
          <w:tcPr>
            <w:tcW w:w="1720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19.01.02</w:t>
            </w:r>
            <w:bookmarkEnd w:id="8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19.01.02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34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余家龙</w:t>
            </w:r>
          </w:p>
        </w:tc>
        <w:tc>
          <w:tcPr>
            <w:tcW w:w="118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生产/服务流程图：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电子料来料检验—AI/RI自动插件—SMT贴片加工—产品测试—包装—出货</w:t>
            </w:r>
            <w:r>
              <w:rPr>
                <w:rFonts w:hint="eastAsia" w:eastAsia="宋体"/>
                <w:b/>
                <w:sz w:val="21"/>
                <w:szCs w:val="21"/>
                <w:lang w:val="en-US" w:eastAsia="zh-CN"/>
              </w:rPr>
              <w:t>。</w:t>
            </w:r>
          </w:p>
          <w:p>
            <w:pPr>
              <w:snapToGrid w:val="0"/>
              <w:spacing w:line="280" w:lineRule="exact"/>
              <w:jc w:val="left"/>
            </w:pPr>
            <w:r>
              <w:rPr>
                <w:rFonts w:hint="eastAsia" w:eastAsia="宋体"/>
                <w:b/>
                <w:sz w:val="21"/>
                <w:szCs w:val="21"/>
                <w:lang w:val="en-US" w:eastAsia="zh-CN"/>
              </w:rPr>
              <w:t>关键/确认过程：焊接过程，也是特殊过程。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生产过程的风险：</w:t>
            </w:r>
            <w:r>
              <w:rPr>
                <w:rFonts w:hint="eastAsia" w:eastAsia="宋体"/>
                <w:b/>
                <w:sz w:val="21"/>
                <w:szCs w:val="21"/>
                <w:lang w:val="en-US" w:eastAsia="zh-CN"/>
              </w:rPr>
              <w:t>元器件选用不当，焊接不合格造成产品报废风险。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控制措施：</w:t>
            </w:r>
            <w:r>
              <w:rPr>
                <w:rFonts w:hint="eastAsia" w:eastAsia="宋体"/>
                <w:b/>
                <w:sz w:val="21"/>
                <w:szCs w:val="21"/>
                <w:lang w:val="en-US" w:eastAsia="zh-CN"/>
              </w:rPr>
              <w:t>制定操作指导书，人员技能培训，设备的维护保养等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特殊过程的控制：</w:t>
            </w:r>
            <w:r>
              <w:rPr>
                <w:rFonts w:hint="eastAsia" w:eastAsia="宋体"/>
                <w:b/>
                <w:sz w:val="21"/>
                <w:szCs w:val="21"/>
                <w:lang w:val="en-US" w:eastAsia="zh-CN"/>
              </w:rPr>
              <w:t>焊接过程为特殊过程，制定操作指导书，人员技能培训，设备的维护保养等并做好出厂检验。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重要的食品安全危害/关键控制点及控制措施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主要能源使用和主要能源参数等；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b/>
                <w:sz w:val="21"/>
                <w:szCs w:val="21"/>
                <w:lang w:val="en-US" w:eastAsia="zh-CN"/>
              </w:rPr>
              <w:t>相关法律法规：中华人民共和国合同法、中华人民共和国劳动法、中华人民共和国安全消防法、中华人民共和国产品质量法、中华人民共和国消费者权益法等、中华人民共和国安全生产法。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1"/>
                <w:szCs w:val="21"/>
                <w:lang w:val="en-US" w:eastAsia="zh-CN"/>
              </w:rPr>
              <w:t>产品标准：电子组件可接受性IPC-A-610G；表面贴装设备性能检测方法IPC-9850等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1"/>
                <w:szCs w:val="21"/>
                <w:lang w:val="en-US" w:eastAsia="zh-CN"/>
              </w:rPr>
              <w:t>产品的外观、</w:t>
            </w:r>
            <w:r>
              <w:rPr>
                <w:rFonts w:hint="eastAsia"/>
                <w:b/>
                <w:sz w:val="20"/>
                <w:lang w:val="en-US" w:eastAsia="zh-CN"/>
              </w:rPr>
              <w:t>元器件高度、焊接可靠性</w:t>
            </w:r>
            <w:bookmarkStart w:id="9" w:name="_GoBack"/>
            <w:bookmarkEnd w:id="9"/>
            <w:r>
              <w:rPr>
                <w:rFonts w:hint="eastAsia" w:ascii="Times New Roman" w:hAnsi="Times New Roman" w:eastAsia="宋体" w:cs="Times New Roman"/>
                <w:b/>
                <w:sz w:val="21"/>
                <w:szCs w:val="21"/>
                <w:lang w:val="en-US" w:eastAsia="zh-CN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350520</wp:posOffset>
                  </wp:positionH>
                  <wp:positionV relativeFrom="paragraph">
                    <wp:posOffset>180975</wp:posOffset>
                  </wp:positionV>
                  <wp:extent cx="812800" cy="400050"/>
                  <wp:effectExtent l="0" t="0" r="10160" b="11430"/>
                  <wp:wrapNone/>
                  <wp:docPr id="21" name="图片 21" descr="6f6c635d400c29486ef2a72372c844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21" descr="6f6c635d400c29486ef2a72372c844e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2021.9.10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274320</wp:posOffset>
                  </wp:positionH>
                  <wp:positionV relativeFrom="paragraph">
                    <wp:posOffset>123825</wp:posOffset>
                  </wp:positionV>
                  <wp:extent cx="812800" cy="400050"/>
                  <wp:effectExtent l="0" t="0" r="10160" b="11430"/>
                  <wp:wrapNone/>
                  <wp:docPr id="1" name="图片 1" descr="6f6c635d400c29486ef2a72372c844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6f6c635d400c29486ef2a72372c844e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5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2021.9.10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default" w:ascii="宋体" w:eastAsia="宋体"/>
          <w:b/>
          <w:spacing w:val="-6"/>
          <w:sz w:val="21"/>
          <w:szCs w:val="21"/>
          <w:lang w:val="en-US" w:eastAsia="zh-CN"/>
        </w:rPr>
      </w:pPr>
      <w:r>
        <w:rPr>
          <w:rFonts w:hint="eastAsia" w:ascii="宋体" w:hAnsi="Times New Roman" w:eastAsia="宋体" w:cs="Times New Roman"/>
          <w:b/>
          <w:spacing w:val="-6"/>
          <w:sz w:val="21"/>
          <w:szCs w:val="21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5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pict>
        <v:shape id="图片 24" o:spid="_x0000_s4097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6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4098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版)</w:t>
                </w:r>
              </w:p>
            </w:txbxContent>
          </v:textbox>
        </v:shape>
      </w:pict>
    </w:r>
    <w:r>
      <w:rPr>
        <w:rStyle w:val="12"/>
        <w:rFonts w:hint="default"/>
        <w:w w:val="90"/>
      </w:rPr>
      <w:t>Beijing International Standard united Certification Co.,Ltd.</w:t>
    </w:r>
  </w:p>
  <w:p>
    <w:pPr>
      <w:pStyle w:val="6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491A13CE"/>
    <w:rsid w:val="66323202"/>
    <w:rsid w:val="6ABB7AD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ody Text"/>
    <w:basedOn w:val="1"/>
    <w:qFormat/>
    <w:uiPriority w:val="99"/>
  </w:style>
  <w:style w:type="paragraph" w:styleId="4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脚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眉 Char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link w:val="4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44</Words>
  <Characters>253</Characters>
  <Lines>2</Lines>
  <Paragraphs>1</Paragraphs>
  <TotalTime>1</TotalTime>
  <ScaleCrop>false</ScaleCrop>
  <LinksUpToDate>false</LinksUpToDate>
  <CharactersWithSpaces>296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way一直都在</cp:lastModifiedBy>
  <dcterms:modified xsi:type="dcterms:W3CDTF">2021-09-10T06:05:23Z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2052-11.1.0.10700</vt:lpwstr>
  </property>
</Properties>
</file>