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杭州成功超声设备有限公司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E：19.14.00;34.05.00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O：19.14.00;34.05.00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方小娥； 王丽娟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石帆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720" w:lineRule="exact"/>
              <w:ind w:firstLine="960" w:firstLineChars="4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下料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→清洗→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精加工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装配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→老化→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</w:rPr>
              <w:t>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包装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精加工的风险：噪声、机械伤害风险；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针对风险采取的措施：设备维护保养，加强风险告知信息宣传和教育；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关键过程：老化过程，对产品质量性能十分关键，但无相关环境和安全风险；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废水主要为生活污水，排放园区管道；；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噪声应尽量定期检修，加强润滑，保持设备良好的运转状态，达到GB12348-2008工业企业厂界环境噪声排放标准；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固废主要为切割金属部件边角料，资源化外售；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车间化学因子危害、焊接烟气、粉尘危险、噪声危害、机械伤害等；措施；车间其他作业人员配戴口罩和耳塞等；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《中华人民共和国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环境保护法》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、《中华人民共和国安全生产法》、 职业病防治法、GB12348-2008《工业企业厂界环境噪声排</w:t>
            </w:r>
            <w:r>
              <w:rPr>
                <w:rFonts w:hint="eastAsia"/>
                <w:b/>
                <w:sz w:val="20"/>
                <w:lang w:val="en-US" w:eastAsia="zh-CN"/>
              </w:rPr>
              <w:t>放标准》、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用人单位职业病危害告知与警示标识管理规范》、GBZ158-2013《工作场所职业病危害警示标识》、GBZ188-2014《职业健康监护技术规范》、GBZ2.1-2019《工作场所有害因素职业接触限值 第1部分：化学有害因素》、GBZ2.2-2017《工作场所有害因素职业接触限值 第2部分：物理因素》等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换能器产品目前无国家或行业标准，但该企业依据企业标准和“浙江制造”标准出厂检验和型式检验，主要的检验项目有换能器的谐振频率、等效电阻、换能器自由电容、换能器绝缘电阻、绝缘强度、温升等主要项目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方小娥； 王丽娟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0"/>
          <w:lang w:val="en-US" w:eastAsia="zh-CN"/>
        </w:rPr>
        <w:t>方小娥    王丽娟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2021-8-13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2021-8-13</w:t>
      </w:r>
      <w:r>
        <w:rPr>
          <w:rFonts w:hint="eastAsia"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7F75F0"/>
    <w:rsid w:val="2E7447EA"/>
    <w:rsid w:val="51173A06"/>
    <w:rsid w:val="5C216A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2021-09-09T22:25:57Z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D242FF3701C54D46BDB471F9F67294EE</vt:lpwstr>
  </property>
</Properties>
</file>