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29B3" w14:textId="77777777" w:rsidR="005C0A53" w:rsidRPr="005C0A53" w:rsidRDefault="005760C1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ED88CB2" w14:textId="77777777" w:rsidR="008F6BDE" w:rsidRDefault="005760C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0147-2020-2021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134"/>
        <w:gridCol w:w="1134"/>
        <w:gridCol w:w="1559"/>
        <w:gridCol w:w="1560"/>
        <w:gridCol w:w="1175"/>
        <w:gridCol w:w="1310"/>
      </w:tblGrid>
      <w:tr w:rsidR="00626C49" w14:paraId="00C5E6F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49A6C3F" w14:textId="77777777" w:rsidR="0044252F" w:rsidRDefault="005760C1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3376FBA" w14:textId="77777777" w:rsidR="0044252F" w:rsidRDefault="005760C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苏州胜信光电科技有限公司</w:t>
            </w:r>
            <w:bookmarkEnd w:id="1"/>
          </w:p>
        </w:tc>
      </w:tr>
      <w:tr w:rsidR="00626C49" w14:paraId="65A2188C" w14:textId="77777777" w:rsidTr="00287E4C">
        <w:trPr>
          <w:trHeight w:val="628"/>
          <w:jc w:val="center"/>
        </w:trPr>
        <w:tc>
          <w:tcPr>
            <w:tcW w:w="1092" w:type="dxa"/>
            <w:vAlign w:val="center"/>
          </w:tcPr>
          <w:p w14:paraId="4339AA7B" w14:textId="77777777" w:rsidR="0044252F" w:rsidRP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48234E4" w14:textId="77777777" w:rsidR="00DF08BE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64E15FC" w14:textId="4546B45D" w:rsidR="0044252F" w:rsidRP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92" w:type="dxa"/>
            <w:vAlign w:val="center"/>
          </w:tcPr>
          <w:p w14:paraId="4CAE1B18" w14:textId="77777777" w:rsid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E524A8C" w14:textId="77777777" w:rsidR="0044252F" w:rsidRP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4602CD1A" w14:textId="77777777" w:rsidR="0044252F" w:rsidRP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74833C07" w14:textId="77777777" w:rsidR="009D3F5B" w:rsidRPr="00AA60B9" w:rsidRDefault="005760C1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9A2D3B9" w14:textId="77777777" w:rsidR="0044252F" w:rsidRPr="00AA60B9" w:rsidRDefault="005760C1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26A151BA" w14:textId="77777777" w:rsidR="0044252F" w:rsidRPr="00AA60B9" w:rsidRDefault="005760C1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78984BED" w14:textId="77777777" w:rsidR="00DF08BE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5C9072B" w14:textId="74E10C0D" w:rsidR="0044252F" w:rsidRP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175" w:type="dxa"/>
            <w:vAlign w:val="center"/>
          </w:tcPr>
          <w:p w14:paraId="2EC79EE5" w14:textId="77777777" w:rsidR="00DF08BE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5C24B1BE" w14:textId="5233F840" w:rsidR="0044252F" w:rsidRP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06C3BDEA" w14:textId="77777777" w:rsidR="0044252F" w:rsidRPr="008D0A78" w:rsidRDefault="005760C1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E595F1A" w14:textId="77777777" w:rsidR="0044252F" w:rsidRPr="008D0A78" w:rsidRDefault="005760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26C49" w14:paraId="6187A32B" w14:textId="77777777" w:rsidTr="00287E4C">
        <w:trPr>
          <w:trHeight w:val="566"/>
          <w:jc w:val="center"/>
        </w:trPr>
        <w:tc>
          <w:tcPr>
            <w:tcW w:w="1092" w:type="dxa"/>
            <w:vAlign w:val="center"/>
          </w:tcPr>
          <w:p w14:paraId="1694A43B" w14:textId="0A22649E" w:rsidR="0044252F" w:rsidRPr="005918D2" w:rsidRDefault="00287E4C" w:rsidP="00DF08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总师办</w:t>
            </w:r>
            <w:proofErr w:type="gramEnd"/>
          </w:p>
        </w:tc>
        <w:tc>
          <w:tcPr>
            <w:tcW w:w="1176" w:type="dxa"/>
            <w:vAlign w:val="center"/>
          </w:tcPr>
          <w:p w14:paraId="5F6D1817" w14:textId="23EF2415" w:rsidR="0044252F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干湿度计</w:t>
            </w:r>
          </w:p>
        </w:tc>
        <w:tc>
          <w:tcPr>
            <w:tcW w:w="1092" w:type="dxa"/>
            <w:vAlign w:val="center"/>
          </w:tcPr>
          <w:p w14:paraId="77420E15" w14:textId="707BDBC2" w:rsidR="0044252F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K-01-01</w:t>
            </w:r>
          </w:p>
        </w:tc>
        <w:tc>
          <w:tcPr>
            <w:tcW w:w="1134" w:type="dxa"/>
            <w:vAlign w:val="center"/>
          </w:tcPr>
          <w:p w14:paraId="3C2332C4" w14:textId="5DA252ED" w:rsidR="0044252F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x925</w:t>
            </w:r>
          </w:p>
        </w:tc>
        <w:tc>
          <w:tcPr>
            <w:tcW w:w="1134" w:type="dxa"/>
            <w:vAlign w:val="center"/>
          </w:tcPr>
          <w:p w14:paraId="3008B11A" w14:textId="77777777" w:rsidR="0044252F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2D5F5BDA" w14:textId="6B240B4E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>
              <w:rPr>
                <w:rFonts w:asciiTheme="minorEastAsia" w:hAnsiTheme="minorEastAsia"/>
                <w:sz w:val="18"/>
                <w:szCs w:val="18"/>
              </w:rPr>
              <w:t>.0%RH</w:t>
            </w:r>
          </w:p>
        </w:tc>
        <w:tc>
          <w:tcPr>
            <w:tcW w:w="1559" w:type="dxa"/>
            <w:vAlign w:val="center"/>
          </w:tcPr>
          <w:p w14:paraId="564B2EA9" w14:textId="77777777" w:rsidR="0044252F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 w14:paraId="514D920B" w14:textId="17D6E8AE" w:rsidR="00101489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3E537B15" w14:textId="27FB9A8A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露点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℃C</w:t>
            </w:r>
            <w:r>
              <w:rPr>
                <w:rFonts w:ascii="宋体" w:eastAsia="宋体" w:hAnsi="宋体"/>
                <w:sz w:val="18"/>
                <w:szCs w:val="18"/>
              </w:rPr>
              <w:t>D.P</w:t>
            </w:r>
          </w:p>
        </w:tc>
        <w:tc>
          <w:tcPr>
            <w:tcW w:w="1560" w:type="dxa"/>
            <w:vAlign w:val="center"/>
          </w:tcPr>
          <w:p w14:paraId="23A5BA02" w14:textId="5B6EC925" w:rsidR="0044252F" w:rsidRPr="00101489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175" w:type="dxa"/>
            <w:vAlign w:val="center"/>
          </w:tcPr>
          <w:p w14:paraId="27DDAF5A" w14:textId="40EA842D" w:rsidR="0044252F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310" w:type="dxa"/>
            <w:vAlign w:val="center"/>
          </w:tcPr>
          <w:p w14:paraId="7E9CD440" w14:textId="452B40A8" w:rsidR="0044252F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01489" w14:paraId="5C1191FF" w14:textId="77777777" w:rsidTr="00287E4C">
        <w:trPr>
          <w:trHeight w:val="546"/>
          <w:jc w:val="center"/>
        </w:trPr>
        <w:tc>
          <w:tcPr>
            <w:tcW w:w="1092" w:type="dxa"/>
            <w:vAlign w:val="center"/>
          </w:tcPr>
          <w:p w14:paraId="2B8B95A5" w14:textId="7FB888AC" w:rsidR="00101489" w:rsidRPr="005918D2" w:rsidRDefault="005918D2" w:rsidP="00DF08BE">
            <w:pPr>
              <w:jc w:val="center"/>
              <w:rPr>
                <w:sz w:val="18"/>
                <w:szCs w:val="18"/>
              </w:rPr>
            </w:pPr>
            <w:r w:rsidRPr="005918D2">
              <w:rPr>
                <w:rFonts w:hint="eastAsia"/>
                <w:sz w:val="18"/>
                <w:szCs w:val="18"/>
              </w:rPr>
              <w:t>仓库</w:t>
            </w:r>
          </w:p>
        </w:tc>
        <w:tc>
          <w:tcPr>
            <w:tcW w:w="1176" w:type="dxa"/>
            <w:vAlign w:val="center"/>
          </w:tcPr>
          <w:p w14:paraId="24F8996F" w14:textId="67804BAE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地磅</w:t>
            </w:r>
          </w:p>
        </w:tc>
        <w:tc>
          <w:tcPr>
            <w:tcW w:w="1092" w:type="dxa"/>
            <w:vAlign w:val="center"/>
          </w:tcPr>
          <w:p w14:paraId="7022FD88" w14:textId="2D2BD911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M01-02</w:t>
            </w:r>
          </w:p>
        </w:tc>
        <w:tc>
          <w:tcPr>
            <w:tcW w:w="1134" w:type="dxa"/>
            <w:vAlign w:val="center"/>
          </w:tcPr>
          <w:p w14:paraId="09652BD1" w14:textId="533D4E3D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CS-5000</w:t>
            </w:r>
          </w:p>
        </w:tc>
        <w:tc>
          <w:tcPr>
            <w:tcW w:w="1134" w:type="dxa"/>
            <w:vAlign w:val="center"/>
          </w:tcPr>
          <w:p w14:paraId="094EA980" w14:textId="4D9B17AC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9C94C4C" w14:textId="34F65F05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2A80CD50" w14:textId="230F1C23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175" w:type="dxa"/>
            <w:vAlign w:val="center"/>
          </w:tcPr>
          <w:p w14:paraId="2A513767" w14:textId="1305A0AC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310" w:type="dxa"/>
            <w:vAlign w:val="center"/>
          </w:tcPr>
          <w:p w14:paraId="08C72CE2" w14:textId="59F19EAE" w:rsidR="00101489" w:rsidRPr="008D0A78" w:rsidRDefault="00101489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55C46" w14:paraId="2DEF5BE7" w14:textId="77777777" w:rsidTr="00287E4C">
        <w:trPr>
          <w:trHeight w:val="568"/>
          <w:jc w:val="center"/>
        </w:trPr>
        <w:tc>
          <w:tcPr>
            <w:tcW w:w="1092" w:type="dxa"/>
            <w:vAlign w:val="center"/>
          </w:tcPr>
          <w:p w14:paraId="291AD0CF" w14:textId="2A1183A1" w:rsidR="00F55C46" w:rsidRPr="005918D2" w:rsidRDefault="00287E4C" w:rsidP="00DF08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总师办</w:t>
            </w:r>
            <w:proofErr w:type="gramEnd"/>
          </w:p>
        </w:tc>
        <w:tc>
          <w:tcPr>
            <w:tcW w:w="1176" w:type="dxa"/>
            <w:vAlign w:val="center"/>
          </w:tcPr>
          <w:p w14:paraId="04C961A1" w14:textId="0C141111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92" w:type="dxa"/>
            <w:vAlign w:val="center"/>
          </w:tcPr>
          <w:p w14:paraId="3CB31B74" w14:textId="51661181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M01-01</w:t>
            </w:r>
          </w:p>
        </w:tc>
        <w:tc>
          <w:tcPr>
            <w:tcW w:w="1134" w:type="dxa"/>
            <w:vAlign w:val="center"/>
          </w:tcPr>
          <w:p w14:paraId="3E31134C" w14:textId="244356BF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10g</w:t>
            </w:r>
          </w:p>
        </w:tc>
        <w:tc>
          <w:tcPr>
            <w:tcW w:w="1134" w:type="dxa"/>
            <w:vAlign w:val="center"/>
          </w:tcPr>
          <w:p w14:paraId="7BBE227F" w14:textId="0D986835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83E64D0" w14:textId="6CF9E497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1CAE5103" w14:textId="79096FCE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175" w:type="dxa"/>
            <w:vAlign w:val="center"/>
          </w:tcPr>
          <w:p w14:paraId="6666A493" w14:textId="7A131AE2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310" w:type="dxa"/>
            <w:vAlign w:val="center"/>
          </w:tcPr>
          <w:p w14:paraId="0AC475FF" w14:textId="49FB436A" w:rsidR="00F55C46" w:rsidRPr="008D0A78" w:rsidRDefault="00F55C46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86A07" w14:paraId="3B9BCCE4" w14:textId="77777777" w:rsidTr="00287E4C">
        <w:trPr>
          <w:trHeight w:val="568"/>
          <w:jc w:val="center"/>
        </w:trPr>
        <w:tc>
          <w:tcPr>
            <w:tcW w:w="1092" w:type="dxa"/>
            <w:vAlign w:val="center"/>
          </w:tcPr>
          <w:p w14:paraId="52A58376" w14:textId="22F944C8" w:rsidR="00686A07" w:rsidRPr="005918D2" w:rsidRDefault="00287E4C" w:rsidP="00DF08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总师办</w:t>
            </w:r>
            <w:proofErr w:type="gramEnd"/>
          </w:p>
        </w:tc>
        <w:tc>
          <w:tcPr>
            <w:tcW w:w="1176" w:type="dxa"/>
            <w:vAlign w:val="center"/>
          </w:tcPr>
          <w:p w14:paraId="2889B08C" w14:textId="77777777" w:rsidR="00DF08BE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电子万能</w:t>
            </w:r>
          </w:p>
          <w:p w14:paraId="32B117D7" w14:textId="75E33589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092" w:type="dxa"/>
            <w:vAlign w:val="center"/>
          </w:tcPr>
          <w:p w14:paraId="4EEC6201" w14:textId="30514561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X10-007</w:t>
            </w:r>
          </w:p>
        </w:tc>
        <w:tc>
          <w:tcPr>
            <w:tcW w:w="1134" w:type="dxa"/>
            <w:vAlign w:val="center"/>
          </w:tcPr>
          <w:p w14:paraId="5D78A477" w14:textId="64CAEEB8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Y-8000A-5000N</w:t>
            </w:r>
          </w:p>
        </w:tc>
        <w:tc>
          <w:tcPr>
            <w:tcW w:w="1134" w:type="dxa"/>
            <w:vAlign w:val="center"/>
          </w:tcPr>
          <w:p w14:paraId="784A5CD7" w14:textId="2345F4D2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08C816B" w14:textId="77777777" w:rsidR="00686A07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57D8AEB9" w14:textId="330C2469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2EB3CA8C" w14:textId="755CB6BE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175" w:type="dxa"/>
            <w:vAlign w:val="center"/>
          </w:tcPr>
          <w:p w14:paraId="426E2072" w14:textId="00DB8399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310" w:type="dxa"/>
            <w:vAlign w:val="center"/>
          </w:tcPr>
          <w:p w14:paraId="15DF891D" w14:textId="00543FB4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86A07" w14:paraId="53CD9929" w14:textId="77777777" w:rsidTr="00287E4C">
        <w:trPr>
          <w:trHeight w:val="568"/>
          <w:jc w:val="center"/>
        </w:trPr>
        <w:tc>
          <w:tcPr>
            <w:tcW w:w="1092" w:type="dxa"/>
            <w:vAlign w:val="center"/>
          </w:tcPr>
          <w:p w14:paraId="631018DF" w14:textId="0B07275E" w:rsidR="00686A07" w:rsidRPr="005918D2" w:rsidRDefault="00287E4C" w:rsidP="00DF08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总师办</w:t>
            </w:r>
            <w:proofErr w:type="gramEnd"/>
          </w:p>
        </w:tc>
        <w:tc>
          <w:tcPr>
            <w:tcW w:w="1176" w:type="dxa"/>
            <w:vAlign w:val="center"/>
          </w:tcPr>
          <w:p w14:paraId="7B971F3D" w14:textId="23AE0F7F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耐压绝缘测试仪</w:t>
            </w:r>
          </w:p>
        </w:tc>
        <w:tc>
          <w:tcPr>
            <w:tcW w:w="1092" w:type="dxa"/>
            <w:vAlign w:val="center"/>
          </w:tcPr>
          <w:p w14:paraId="6F966D81" w14:textId="0D44B809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X01-007</w:t>
            </w:r>
          </w:p>
        </w:tc>
        <w:tc>
          <w:tcPr>
            <w:tcW w:w="1134" w:type="dxa"/>
            <w:vAlign w:val="center"/>
          </w:tcPr>
          <w:p w14:paraId="78F3E1ED" w14:textId="67A2C276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N-6000</w:t>
            </w:r>
          </w:p>
        </w:tc>
        <w:tc>
          <w:tcPr>
            <w:tcW w:w="1134" w:type="dxa"/>
            <w:vAlign w:val="center"/>
          </w:tcPr>
          <w:p w14:paraId="3F2F28E0" w14:textId="60B6CADE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63E60BE" w14:textId="77777777" w:rsidR="00686A07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耐压测试仪校准</w:t>
            </w:r>
          </w:p>
          <w:p w14:paraId="0F3FE2E2" w14:textId="24B46E5F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20EFB2D9" w14:textId="104CA3B6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175" w:type="dxa"/>
            <w:vAlign w:val="center"/>
          </w:tcPr>
          <w:p w14:paraId="26ACF1E5" w14:textId="67313623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310" w:type="dxa"/>
            <w:vAlign w:val="center"/>
          </w:tcPr>
          <w:p w14:paraId="53C8A778" w14:textId="65F6BF52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86A07" w14:paraId="735D2061" w14:textId="77777777" w:rsidTr="00287E4C">
        <w:trPr>
          <w:trHeight w:val="568"/>
          <w:jc w:val="center"/>
        </w:trPr>
        <w:tc>
          <w:tcPr>
            <w:tcW w:w="1092" w:type="dxa"/>
            <w:vAlign w:val="center"/>
          </w:tcPr>
          <w:p w14:paraId="11798952" w14:textId="7843A29A" w:rsidR="00686A07" w:rsidRPr="005918D2" w:rsidRDefault="00287E4C" w:rsidP="00DF08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总师办</w:t>
            </w:r>
            <w:proofErr w:type="gramEnd"/>
          </w:p>
        </w:tc>
        <w:tc>
          <w:tcPr>
            <w:tcW w:w="1176" w:type="dxa"/>
            <w:vAlign w:val="center"/>
          </w:tcPr>
          <w:p w14:paraId="7E95D6F1" w14:textId="40ABBD46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差热分析仪</w:t>
            </w:r>
          </w:p>
        </w:tc>
        <w:tc>
          <w:tcPr>
            <w:tcW w:w="1092" w:type="dxa"/>
            <w:vAlign w:val="center"/>
          </w:tcPr>
          <w:p w14:paraId="5563D8AE" w14:textId="00252FD3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X10-002</w:t>
            </w:r>
          </w:p>
        </w:tc>
        <w:tc>
          <w:tcPr>
            <w:tcW w:w="1134" w:type="dxa"/>
            <w:vAlign w:val="center"/>
          </w:tcPr>
          <w:p w14:paraId="727C723C" w14:textId="022BAF65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Z3320A</w:t>
            </w:r>
          </w:p>
        </w:tc>
        <w:tc>
          <w:tcPr>
            <w:tcW w:w="1134" w:type="dxa"/>
            <w:vAlign w:val="center"/>
          </w:tcPr>
          <w:p w14:paraId="71CA4EEA" w14:textId="60BDA58F" w:rsidR="00686A07" w:rsidRDefault="00686A07" w:rsidP="00DF08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±2</w:t>
            </w:r>
            <w:r>
              <w:rPr>
                <w:rFonts w:asciiTheme="minorEastAsia" w:hAnsiTheme="minorEastAsia"/>
                <w:sz w:val="18"/>
                <w:szCs w:val="18"/>
              </w:rPr>
              <w:t>%</w:t>
            </w:r>
          </w:p>
          <w:p w14:paraId="2B375EA2" w14:textId="2DD099DA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温度±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559" w:type="dxa"/>
            <w:vAlign w:val="center"/>
          </w:tcPr>
          <w:p w14:paraId="063649FE" w14:textId="0FB457C2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6BC14048" w14:textId="20871976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175" w:type="dxa"/>
            <w:vAlign w:val="center"/>
          </w:tcPr>
          <w:p w14:paraId="6FCBEE08" w14:textId="79E88128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310" w:type="dxa"/>
            <w:vAlign w:val="center"/>
          </w:tcPr>
          <w:p w14:paraId="7D77AE0D" w14:textId="67AFCBB2" w:rsidR="00686A07" w:rsidRPr="008D0A78" w:rsidRDefault="00686A07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3B1" w14:paraId="1AC51AC5" w14:textId="77777777" w:rsidTr="00287E4C">
        <w:trPr>
          <w:trHeight w:val="568"/>
          <w:jc w:val="center"/>
        </w:trPr>
        <w:tc>
          <w:tcPr>
            <w:tcW w:w="1092" w:type="dxa"/>
            <w:vAlign w:val="center"/>
          </w:tcPr>
          <w:p w14:paraId="56B02C96" w14:textId="0C07F77C" w:rsidR="008E23B1" w:rsidRPr="005918D2" w:rsidRDefault="00287E4C" w:rsidP="00DF08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总师办</w:t>
            </w:r>
            <w:proofErr w:type="gramEnd"/>
          </w:p>
        </w:tc>
        <w:tc>
          <w:tcPr>
            <w:tcW w:w="1176" w:type="dxa"/>
            <w:vAlign w:val="center"/>
          </w:tcPr>
          <w:p w14:paraId="3FAB605E" w14:textId="60C01DCD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耐环境应力开裂测定仪</w:t>
            </w:r>
          </w:p>
        </w:tc>
        <w:tc>
          <w:tcPr>
            <w:tcW w:w="1092" w:type="dxa"/>
            <w:vAlign w:val="center"/>
          </w:tcPr>
          <w:p w14:paraId="2C9CC2E0" w14:textId="7771CE0C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X16-003</w:t>
            </w:r>
          </w:p>
        </w:tc>
        <w:tc>
          <w:tcPr>
            <w:tcW w:w="1134" w:type="dxa"/>
            <w:vAlign w:val="center"/>
          </w:tcPr>
          <w:p w14:paraId="14ECE538" w14:textId="23687DBD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YK-06</w:t>
            </w:r>
          </w:p>
        </w:tc>
        <w:tc>
          <w:tcPr>
            <w:tcW w:w="1134" w:type="dxa"/>
            <w:vAlign w:val="center"/>
          </w:tcPr>
          <w:p w14:paraId="5F2240A7" w14:textId="3E578F91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1.0</w:t>
            </w:r>
          </w:p>
        </w:tc>
        <w:tc>
          <w:tcPr>
            <w:tcW w:w="1559" w:type="dxa"/>
            <w:vAlign w:val="center"/>
          </w:tcPr>
          <w:p w14:paraId="4C2D4213" w14:textId="77777777" w:rsidR="008E23B1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温度巡检仪</w:t>
            </w:r>
          </w:p>
          <w:p w14:paraId="77033C42" w14:textId="77777777" w:rsidR="008E23B1" w:rsidRDefault="008E23B1" w:rsidP="00DF08B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℃ </w:t>
            </w:r>
            <w:r>
              <w:rPr>
                <w:rFonts w:ascii="宋体" w:eastAsia="宋体" w:hAnsi="宋体"/>
                <w:sz w:val="18"/>
                <w:szCs w:val="18"/>
              </w:rPr>
              <w:t>U=1.3%RH</w:t>
            </w:r>
          </w:p>
          <w:p w14:paraId="4017200F" w14:textId="06D90A38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K=2</w:t>
            </w:r>
          </w:p>
        </w:tc>
        <w:tc>
          <w:tcPr>
            <w:tcW w:w="1560" w:type="dxa"/>
            <w:vAlign w:val="center"/>
          </w:tcPr>
          <w:p w14:paraId="5235ADAC" w14:textId="1E9D6158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175" w:type="dxa"/>
            <w:vAlign w:val="center"/>
          </w:tcPr>
          <w:p w14:paraId="70549199" w14:textId="16AC3E58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310" w:type="dxa"/>
            <w:vAlign w:val="center"/>
          </w:tcPr>
          <w:p w14:paraId="77628CEB" w14:textId="68E0737C" w:rsidR="008E23B1" w:rsidRPr="008D0A78" w:rsidRDefault="008E23B1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3B1" w14:paraId="74720831" w14:textId="77777777" w:rsidTr="00287E4C">
        <w:trPr>
          <w:trHeight w:val="568"/>
          <w:jc w:val="center"/>
        </w:trPr>
        <w:tc>
          <w:tcPr>
            <w:tcW w:w="1092" w:type="dxa"/>
            <w:vAlign w:val="center"/>
          </w:tcPr>
          <w:p w14:paraId="16A0B3BD" w14:textId="28AE14D5" w:rsidR="008E23B1" w:rsidRPr="008D0A78" w:rsidRDefault="00287E4C" w:rsidP="00DF08BE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总师办</w:t>
            </w:r>
            <w:proofErr w:type="gramEnd"/>
          </w:p>
        </w:tc>
        <w:tc>
          <w:tcPr>
            <w:tcW w:w="1176" w:type="dxa"/>
            <w:vAlign w:val="center"/>
          </w:tcPr>
          <w:p w14:paraId="2E1C07AB" w14:textId="3E956E31" w:rsidR="008E23B1" w:rsidRPr="008D0A78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光纤多参数测试系统</w:t>
            </w:r>
          </w:p>
        </w:tc>
        <w:tc>
          <w:tcPr>
            <w:tcW w:w="1092" w:type="dxa"/>
            <w:vAlign w:val="center"/>
          </w:tcPr>
          <w:p w14:paraId="045EF2D5" w14:textId="2F6AD10D" w:rsidR="008E23B1" w:rsidRPr="008D0A78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0A902</w:t>
            </w:r>
          </w:p>
        </w:tc>
        <w:tc>
          <w:tcPr>
            <w:tcW w:w="1134" w:type="dxa"/>
            <w:vAlign w:val="center"/>
          </w:tcPr>
          <w:p w14:paraId="49968256" w14:textId="4D01FC82" w:rsidR="008E23B1" w:rsidRPr="008D0A78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FM 1701</w:t>
            </w:r>
          </w:p>
        </w:tc>
        <w:tc>
          <w:tcPr>
            <w:tcW w:w="1134" w:type="dxa"/>
            <w:vAlign w:val="center"/>
          </w:tcPr>
          <w:p w14:paraId="34271A73" w14:textId="222CB48C" w:rsidR="00287E4C" w:rsidRDefault="00287E4C" w:rsidP="00DF0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k=2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02DB20" w14:textId="6598DB6F" w:rsidR="008E23B1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谱损耗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=0.020dB/</w:t>
            </w:r>
            <w:r>
              <w:rPr>
                <w:rFonts w:hint="eastAsia"/>
                <w:sz w:val="18"/>
                <w:szCs w:val="18"/>
              </w:rPr>
              <w:t>km</w:t>
            </w:r>
          </w:p>
          <w:p w14:paraId="0634B251" w14:textId="77777777" w:rsidR="00287E4C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截止波长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=17nm </w:t>
            </w:r>
          </w:p>
          <w:p w14:paraId="2E12F67C" w14:textId="28172CC9" w:rsidR="00287E4C" w:rsidRPr="00287E4C" w:rsidRDefault="00287E4C" w:rsidP="00287E4C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模场直径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=0.18</w:t>
            </w:r>
            <w:r w:rsidRPr="00287E4C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287E4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059118F4" w14:textId="77777777" w:rsidR="008E23B1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标准光纤谱损耗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.008Db/km</w:t>
            </w:r>
          </w:p>
          <w:p w14:paraId="79510EFF" w14:textId="77777777" w:rsidR="00287E4C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截止波长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.7nm</w:t>
            </w:r>
          </w:p>
          <w:p w14:paraId="3376AE1B" w14:textId="77777777" w:rsidR="00287E4C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模场直径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310nm:0.08</w:t>
            </w:r>
            <w:r w:rsidRPr="00287E4C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287E4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 w14:paraId="2886B356" w14:textId="0978E1F4" w:rsidR="00287E4C" w:rsidRPr="008D0A78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550nm: </w:t>
            </w:r>
            <w:r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9</w:t>
            </w:r>
            <w:r w:rsidRPr="00287E4C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287E4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14:paraId="529ABE3C" w14:textId="03580C0E" w:rsidR="008E23B1" w:rsidRPr="008D0A78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中国电子科技集团公司第二十三研究所检验中心</w:t>
            </w:r>
          </w:p>
        </w:tc>
        <w:tc>
          <w:tcPr>
            <w:tcW w:w="1175" w:type="dxa"/>
            <w:vAlign w:val="center"/>
          </w:tcPr>
          <w:p w14:paraId="1580F564" w14:textId="4FC7DBFC" w:rsidR="008E23B1" w:rsidRPr="008D0A78" w:rsidRDefault="00287E4C" w:rsidP="00DF08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021.04.28</w:t>
            </w:r>
          </w:p>
        </w:tc>
        <w:tc>
          <w:tcPr>
            <w:tcW w:w="1310" w:type="dxa"/>
            <w:vAlign w:val="center"/>
          </w:tcPr>
          <w:p w14:paraId="0F52BEE5" w14:textId="448B4B94" w:rsidR="008E23B1" w:rsidRPr="008D0A78" w:rsidRDefault="00287E4C" w:rsidP="00DF08B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3B1" w14:paraId="2451E2CC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5B1380F" w14:textId="77777777" w:rsidR="008E23B1" w:rsidRDefault="008E23B1" w:rsidP="008E23B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6DA921F" w14:textId="77777777" w:rsidR="008E23B1" w:rsidRDefault="008E23B1" w:rsidP="008E23B1">
            <w:pPr>
              <w:rPr>
                <w:rFonts w:ascii="宋体" w:hAnsi="宋体"/>
                <w:szCs w:val="21"/>
              </w:rPr>
            </w:pPr>
          </w:p>
          <w:p w14:paraId="5A247804" w14:textId="2E65C0FA" w:rsidR="008E23B1" w:rsidRPr="008E23B1" w:rsidRDefault="008E23B1" w:rsidP="008E23B1">
            <w:pPr>
              <w:widowControl/>
              <w:ind w:firstLineChars="200" w:firstLine="420"/>
              <w:jc w:val="left"/>
            </w:pPr>
            <w:r w:rsidRPr="008E23B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8E23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E23B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proofErr w:type="gramStart"/>
            <w:r w:rsidRPr="008E23B1">
              <w:rPr>
                <w:rFonts w:ascii="宋体" w:eastAsia="宋体" w:hAnsi="宋体" w:cs="宋体" w:hint="eastAsia"/>
                <w:kern w:val="0"/>
                <w:szCs w:val="21"/>
              </w:rPr>
              <w:t>总师办负责</w:t>
            </w:r>
            <w:proofErr w:type="gramEnd"/>
            <w:r w:rsidRPr="008E23B1">
              <w:rPr>
                <w:rFonts w:ascii="宋体" w:eastAsia="宋体" w:hAnsi="宋体" w:cs="宋体" w:hint="eastAsia"/>
                <w:kern w:val="0"/>
                <w:szCs w:val="21"/>
              </w:rPr>
              <w:t>溯源。公司测量设备全部委托苏州赛宝校准技术服务有限公司</w:t>
            </w:r>
            <w:r w:rsidR="00287E4C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="00287E4C" w:rsidRPr="00287E4C">
              <w:rPr>
                <w:rFonts w:ascii="宋体" w:eastAsia="宋体" w:hAnsi="宋体" w:cs="宋体" w:hint="eastAsia"/>
                <w:kern w:val="0"/>
                <w:szCs w:val="21"/>
              </w:rPr>
              <w:t>中国电子科技集团公司第二十三研究所检验中心</w:t>
            </w:r>
            <w:r w:rsidRPr="008E23B1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机构校准，校准证书由总</w:t>
            </w:r>
            <w:proofErr w:type="gramStart"/>
            <w:r w:rsidRPr="008E23B1">
              <w:rPr>
                <w:rFonts w:ascii="宋体" w:eastAsia="宋体" w:hAnsi="宋体" w:cs="宋体" w:hint="eastAsia"/>
                <w:kern w:val="0"/>
                <w:szCs w:val="21"/>
              </w:rPr>
              <w:t>师办保存</w:t>
            </w:r>
            <w:proofErr w:type="gramEnd"/>
            <w:r w:rsidRPr="008E23B1">
              <w:rPr>
                <w:rFonts w:ascii="宋体" w:eastAsia="宋体" w:hAnsi="宋体" w:cs="宋体" w:hint="eastAsia"/>
                <w:kern w:val="0"/>
                <w:szCs w:val="21"/>
              </w:rPr>
              <w:t>。根据抽查情况，该公司的校准情况符合溯源性要求。</w:t>
            </w:r>
          </w:p>
          <w:p w14:paraId="441D199B" w14:textId="77777777" w:rsidR="008E23B1" w:rsidRDefault="008E23B1" w:rsidP="008E23B1">
            <w:pPr>
              <w:rPr>
                <w:rFonts w:ascii="宋体" w:hAnsi="宋体"/>
                <w:color w:val="0000FF"/>
                <w:szCs w:val="21"/>
              </w:rPr>
            </w:pPr>
          </w:p>
          <w:p w14:paraId="6C76CAE0" w14:textId="77777777" w:rsidR="008E23B1" w:rsidRDefault="008E23B1" w:rsidP="008E23B1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8E23B1" w14:paraId="135253E5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476637A" w14:textId="1A495701" w:rsidR="008E23B1" w:rsidRDefault="008E23B1" w:rsidP="008E23B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051EC31" w14:textId="4840654C" w:rsidR="008E23B1" w:rsidRDefault="001C7CBA" w:rsidP="008E23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C7CB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62419621" wp14:editId="3C5989E0">
                  <wp:simplePos x="0" y="0"/>
                  <wp:positionH relativeFrom="column">
                    <wp:posOffset>4278449</wp:posOffset>
                  </wp:positionH>
                  <wp:positionV relativeFrom="paragraph">
                    <wp:posOffset>246561</wp:posOffset>
                  </wp:positionV>
                  <wp:extent cx="751114" cy="48199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114" cy="48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23B1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38564819" wp14:editId="1A785040">
                  <wp:simplePos x="0" y="0"/>
                  <wp:positionH relativeFrom="column">
                    <wp:posOffset>952590</wp:posOffset>
                  </wp:positionH>
                  <wp:positionV relativeFrom="paragraph">
                    <wp:posOffset>193312</wp:posOffset>
                  </wp:positionV>
                  <wp:extent cx="895350" cy="5238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34870" w14:textId="2D7DA56F" w:rsidR="008E23B1" w:rsidRDefault="008E23B1" w:rsidP="008E23B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08EDA1C" w14:textId="77777777" w:rsidR="008E23B1" w:rsidRDefault="008E23B1" w:rsidP="008E23B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86924FF" w14:textId="77777777" w:rsidR="008D0A78" w:rsidRDefault="008C1F5E" w:rsidP="005C0A53"/>
    <w:p w14:paraId="54BD3C4D" w14:textId="77777777" w:rsidR="008F6BDE" w:rsidRPr="0044252F" w:rsidRDefault="005760C1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F61E" w14:textId="77777777" w:rsidR="008C1F5E" w:rsidRDefault="008C1F5E">
      <w:r>
        <w:separator/>
      </w:r>
    </w:p>
  </w:endnote>
  <w:endnote w:type="continuationSeparator" w:id="0">
    <w:p w14:paraId="6DC89765" w14:textId="77777777" w:rsidR="008C1F5E" w:rsidRDefault="008C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7313" w14:textId="77777777" w:rsidR="008F6BDE" w:rsidRDefault="008C1F5E" w:rsidP="005C0A53">
    <w:pPr>
      <w:pStyle w:val="a5"/>
    </w:pPr>
  </w:p>
  <w:p w14:paraId="71A2959D" w14:textId="77777777" w:rsidR="008F6BDE" w:rsidRDefault="008C1F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BCA6" w14:textId="77777777" w:rsidR="008C1F5E" w:rsidRDefault="008C1F5E">
      <w:r>
        <w:separator/>
      </w:r>
    </w:p>
  </w:footnote>
  <w:footnote w:type="continuationSeparator" w:id="0">
    <w:p w14:paraId="3DC2E74F" w14:textId="77777777" w:rsidR="008C1F5E" w:rsidRDefault="008C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5394" w14:textId="77777777" w:rsidR="008F6BDE" w:rsidRDefault="005760C1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63DE180" wp14:editId="3F00D42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1F4BC1" w14:textId="77777777" w:rsidR="008F6BDE" w:rsidRDefault="008C1F5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DD892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15E8056" w14:textId="77777777" w:rsidR="008F6BDE" w:rsidRDefault="005760C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760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A9EFAC" w14:textId="77777777" w:rsidR="008F6BDE" w:rsidRDefault="005760C1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5C7B0B" w14:textId="77777777" w:rsidR="008F6BDE" w:rsidRDefault="008C1F5E">
    <w:r>
      <w:pict w14:anchorId="18827F6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C49"/>
    <w:rsid w:val="00101489"/>
    <w:rsid w:val="001C7CBA"/>
    <w:rsid w:val="00287E4C"/>
    <w:rsid w:val="005760C1"/>
    <w:rsid w:val="005918D2"/>
    <w:rsid w:val="00626C49"/>
    <w:rsid w:val="006360BD"/>
    <w:rsid w:val="00686A07"/>
    <w:rsid w:val="008C1F5E"/>
    <w:rsid w:val="008E23B1"/>
    <w:rsid w:val="00DF08BE"/>
    <w:rsid w:val="00F55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9AC102"/>
  <w15:docId w15:val="{EF32D88E-83C4-45C6-9000-4DD5649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2021-09-07T08:07:00Z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