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受审核部门：主管领导/陪同人员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审核员：审核时间：</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 xml:space="preserve">企业基本情况 </w:t>
            </w: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ascii="宋体" w:hAnsi="宋体"/>
                <w:lang w:val="en-US" w:eastAsia="zh-CN"/>
              </w:rPr>
              <w:t>陈川</w:t>
            </w:r>
            <w:r>
              <w:rPr>
                <w:rFonts w:hint="eastAsia" w:ascii="宋体" w:hAnsi="宋体"/>
              </w:rPr>
              <w:t xml:space="preserve">  ，与组织的文件：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hint="eastAsia" w:ascii="宋体" w:hAnsi="宋体" w:cs="Times New Roman"/>
              </w:rPr>
            </w:pPr>
            <w:r>
              <w:rPr>
                <w:rFonts w:ascii="宋体" w:hAnsi="宋体"/>
              </w:rPr>
              <w:t>2</w:t>
            </w:r>
            <w:r>
              <w:rPr>
                <w:rFonts w:hint="eastAsia" w:ascii="宋体" w:hAnsi="宋体"/>
              </w:rPr>
              <w:t>）</w:t>
            </w:r>
            <w:r>
              <w:rPr>
                <w:rFonts w:hint="eastAsia" w:ascii="宋体" w:hAnsi="宋体"/>
                <w:szCs w:val="21"/>
              </w:rPr>
              <w:t>■</w:t>
            </w:r>
            <w:r>
              <w:rPr>
                <w:rFonts w:hint="eastAsia" w:ascii="宋体" w:hAnsi="宋体" w:cs="Times New Roman"/>
              </w:rPr>
              <w:t>任命管理者代表：</w:t>
            </w:r>
            <w:r>
              <w:rPr>
                <w:rFonts w:hint="eastAsia" w:ascii="宋体" w:hAnsi="宋体" w:cs="Times New Roman"/>
                <w:lang w:val="en-US" w:eastAsia="zh-CN"/>
              </w:rPr>
              <w:t>洪娟</w:t>
            </w:r>
            <w:r>
              <w:rPr>
                <w:rFonts w:hint="eastAsia" w:ascii="宋体" w:hAnsi="宋体" w:cs="Times New Roman"/>
              </w:rPr>
              <w:t xml:space="preserve"> ，与组织的任命：■一致，□不一致</w:t>
            </w:r>
          </w:p>
          <w:p>
            <w:pPr>
              <w:adjustRightInd w:val="0"/>
              <w:spacing w:line="280" w:lineRule="exact"/>
              <w:jc w:val="left"/>
              <w:rPr>
                <w:rFonts w:hint="eastAsia" w:ascii="宋体" w:hAnsi="宋体" w:cs="Times New Roman"/>
              </w:rPr>
            </w:pPr>
            <w:r>
              <w:rPr>
                <w:rFonts w:hint="eastAsia" w:ascii="宋体" w:hAnsi="宋体" w:cs="Times New Roman"/>
                <w:lang w:val="en-US" w:eastAsia="zh-CN"/>
              </w:rPr>
              <w:t>3）方少琴</w:t>
            </w:r>
            <w:r>
              <w:rPr>
                <w:rFonts w:hint="eastAsia" w:ascii="宋体" w:hAnsi="宋体" w:cs="Times New Roman"/>
              </w:rPr>
              <w:t xml:space="preserve"> 为职业健康安全管理体系的安全事务代表</w:t>
            </w:r>
          </w:p>
          <w:p>
            <w:pPr>
              <w:pStyle w:val="2"/>
              <w:rPr>
                <w:rFonts w:hint="eastAsia" w:ascii="宋体" w:hAnsi="宋体" w:cs="Times New Roman"/>
              </w:rPr>
            </w:pPr>
          </w:p>
          <w:p>
            <w:pPr>
              <w:pStyle w:val="2"/>
              <w:ind w:left="0" w:leftChars="0" w:firstLine="0" w:firstLineChars="0"/>
              <w:rPr>
                <w:rFonts w:hint="default" w:ascii="宋体" w:hAnsi="宋体" w:eastAsia="宋体" w:cs="Times New Roman"/>
                <w:lang w:val="en-US" w:eastAsia="zh-CN"/>
              </w:rPr>
            </w:pPr>
            <w:r>
              <w:rPr>
                <w:rFonts w:hint="eastAsia" w:ascii="宋体" w:hAnsi="宋体" w:cs="Times New Roman"/>
                <w:lang w:val="en-US" w:eastAsia="zh-CN"/>
              </w:rPr>
              <w:t>环境和职业健康安全投入约5万元左右；</w:t>
            </w:r>
          </w:p>
          <w:p>
            <w:pPr>
              <w:adjustRightInd w:val="0"/>
              <w:spacing w:line="280" w:lineRule="exact"/>
              <w:jc w:val="left"/>
              <w:rPr>
                <w:rFonts w:hint="eastAsia" w:ascii="Times New Roman" w:hAnsi="Times New Roman" w:eastAsia="宋体" w:cs="Times New Roman"/>
                <w:kern w:val="2"/>
                <w:sz w:val="21"/>
                <w:lang w:val="en-US" w:eastAsia="zh-CN" w:bidi="ar-SA"/>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hint="eastAsia" w:ascii="宋体" w:hAnsi="宋体"/>
                <w:u w:val="single"/>
                <w:lang w:val="en-US" w:eastAsia="zh-CN"/>
              </w:rPr>
              <w:t>76</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）各体系人数：E</w:t>
            </w:r>
            <w:r>
              <w:rPr>
                <w:rFonts w:hint="eastAsia" w:ascii="宋体" w:hAnsi="宋体"/>
                <w:lang w:val="en-US" w:eastAsia="zh-CN"/>
              </w:rPr>
              <w:t>/O</w:t>
            </w:r>
            <w:r>
              <w:rPr>
                <w:rFonts w:hint="eastAsia" w:ascii="宋体" w:hAnsi="宋体"/>
              </w:rPr>
              <w:t xml:space="preserve"> ：</w:t>
            </w:r>
            <w:r>
              <w:rPr>
                <w:rFonts w:hint="eastAsia" w:ascii="宋体" w:hAnsi="宋体"/>
                <w:u w:val="single"/>
              </w:rPr>
              <w:t xml:space="preserve"> </w:t>
            </w:r>
            <w:r>
              <w:rPr>
                <w:rFonts w:hint="eastAsia" w:ascii="宋体" w:hAnsi="宋体"/>
                <w:u w:val="single"/>
                <w:lang w:val="en-US" w:eastAsia="zh-CN"/>
              </w:rPr>
              <w:t>76</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车间（机加工、组装、老化）、乳化液及废液仓库、空压房、配电房 等</w:t>
            </w:r>
          </w:p>
          <w:p>
            <w:pPr>
              <w:adjustRightInd w:val="0"/>
              <w:spacing w:line="280" w:lineRule="exact"/>
              <w:jc w:val="left"/>
              <w:rPr>
                <w:rFonts w:ascii="Times New Roman" w:hAnsi="Times New Roman" w:eastAsia="宋体" w:cs="Times New Roman"/>
                <w:kern w:val="2"/>
                <w:sz w:val="21"/>
                <w:lang w:val="en-US" w:eastAsia="zh-CN" w:bidi="ar-SA"/>
              </w:rPr>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vAlign w:val="top"/>
          </w:tcPr>
          <w:p>
            <w:pPr>
              <w:rPr>
                <w:rFonts w:ascii="Times New Roman" w:hAnsi="Times New Roman" w:eastAsia="宋体" w:cs="Times New Roman"/>
                <w:kern w:val="2"/>
                <w:sz w:val="21"/>
                <w:lang w:val="en-US" w:eastAsia="zh-CN" w:bidi="ar-SA"/>
              </w:rPr>
            </w:pP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numPr>
                <w:ilvl w:val="0"/>
                <w:numId w:val="1"/>
              </w:numPr>
              <w:adjustRightInd w:val="0"/>
              <w:spacing w:line="280" w:lineRule="exact"/>
              <w:jc w:val="left"/>
              <w:rPr>
                <w:rFonts w:hint="eastAsia"/>
              </w:rPr>
            </w:pPr>
            <w:r>
              <w:rPr>
                <w:rFonts w:hint="eastAsia"/>
              </w:rPr>
              <w:t>体系覆盖产品、服务、活动范围为：</w:t>
            </w:r>
          </w:p>
          <w:p>
            <w:bookmarkStart w:id="0" w:name="审核范围"/>
            <w:r>
              <w:t>E：超声波换能器的生产、超声波驱动电源的组装，超声波换能器的生产、超声波驱动电源的设计所涉及场所的相关环境管理活动</w:t>
            </w:r>
          </w:p>
          <w:p>
            <w:pPr>
              <w:pStyle w:val="2"/>
              <w:numPr>
                <w:ilvl w:val="0"/>
                <w:numId w:val="0"/>
              </w:numPr>
              <w:rPr>
                <w:rFonts w:hint="eastAsia"/>
              </w:rPr>
            </w:pPr>
            <w:r>
              <w:t>O：超声波换能器的生产、超声波驱动电源的组装，超声波换能器的生产、超声波驱动电源的设计所涉及场所的相关职业健康安全管理活动</w:t>
            </w:r>
            <w:bookmarkEnd w:id="0"/>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vAlign w:val="top"/>
          </w:tcPr>
          <w:p>
            <w:pPr>
              <w:jc w:val="left"/>
              <w:rPr>
                <w:rFonts w:ascii="Times New Roman" w:hAnsi="Times New Roman" w:eastAsia="宋体" w:cs="Times New Roman"/>
                <w:kern w:val="2"/>
                <w:sz w:val="21"/>
                <w:lang w:val="en-US" w:eastAsia="zh-CN" w:bidi="ar-SA"/>
              </w:rPr>
            </w:pPr>
            <w:r>
              <w:rPr>
                <w:rFonts w:hint="eastAsia" w:ascii="宋体" w:hAnsi="宋体"/>
                <w:b/>
                <w:bCs/>
              </w:rPr>
              <w:t>管理体系文件</w:t>
            </w:r>
          </w:p>
        </w:tc>
        <w:tc>
          <w:tcPr>
            <w:tcW w:w="960" w:type="dxa"/>
            <w:vAlign w:val="top"/>
          </w:tcPr>
          <w:p>
            <w:pPr>
              <w:rPr>
                <w:rFonts w:ascii="Times New Roman" w:hAnsi="Times New Roman" w:eastAsia="宋体" w:cs="Times New Roman"/>
                <w:kern w:val="2"/>
                <w:sz w:val="21"/>
                <w:lang w:val="en-US" w:eastAsia="zh-CN" w:bidi="ar-SA"/>
              </w:rPr>
            </w:pPr>
          </w:p>
        </w:tc>
        <w:tc>
          <w:tcPr>
            <w:tcW w:w="10004" w:type="dxa"/>
            <w:vAlign w:val="top"/>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w:t>
            </w:r>
            <w:r>
              <w:rPr>
                <w:rFonts w:hint="eastAsia" w:ascii="宋体" w:hAnsi="宋体"/>
                <w:u w:val="single"/>
                <w:lang w:val="en-US" w:eastAsia="zh-CN"/>
              </w:rPr>
              <w:t>1</w:t>
            </w:r>
            <w:r>
              <w:rPr>
                <w:rFonts w:hint="eastAsia" w:ascii="宋体" w:hAnsi="宋体"/>
                <w:u w:val="single"/>
              </w:rPr>
              <w:t>年</w:t>
            </w:r>
            <w:r>
              <w:rPr>
                <w:rFonts w:hint="eastAsia" w:ascii="宋体" w:hAnsi="宋体"/>
                <w:u w:val="single"/>
                <w:lang w:val="en-US" w:eastAsia="zh-CN"/>
              </w:rPr>
              <w:t>1</w:t>
            </w:r>
            <w:r>
              <w:rPr>
                <w:rFonts w:hint="eastAsia" w:ascii="宋体" w:hAnsi="宋体"/>
                <w:u w:val="single"/>
              </w:rPr>
              <w:t>月</w:t>
            </w:r>
            <w:r>
              <w:rPr>
                <w:rFonts w:hint="eastAsia" w:ascii="宋体" w:hAnsi="宋体"/>
                <w:u w:val="single"/>
                <w:lang w:val="en-US" w:eastAsia="zh-CN"/>
              </w:rPr>
              <w:t>8日</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hint="eastAsia" w:ascii="宋体" w:hAnsi="宋体" w:eastAsia="宋体" w:cs="Times New Roman"/>
                <w:color w:val="333333"/>
                <w:kern w:val="2"/>
                <w:sz w:val="21"/>
                <w:szCs w:val="21"/>
                <w:lang w:val="en-US" w:eastAsia="zh-CN" w:bidi="ar-SA"/>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jc w:val="left"/>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hint="eastAsia" w:ascii="宋体" w:hAnsi="宋体" w:eastAsia="宋体" w:cs="Times New Roman"/>
                <w:color w:val="333333"/>
                <w:kern w:val="2"/>
                <w:sz w:val="21"/>
                <w:szCs w:val="21"/>
                <w:lang w:val="en-US" w:eastAsia="zh-CN" w:bidi="ar-SA"/>
              </w:rPr>
            </w:pPr>
            <w:r>
              <w:rPr>
                <w:rFonts w:hint="eastAsia" w:ascii="Arial" w:hAnsi="Arial" w:cs="Arial"/>
                <w:szCs w:val="21"/>
              </w:rPr>
              <w:t>管理制度</w:t>
            </w:r>
            <w:r>
              <w:rPr>
                <w:rFonts w:hint="eastAsia" w:ascii="Arial" w:hAnsi="Arial" w:cs="Arial"/>
                <w:szCs w:val="21"/>
                <w:lang w:val="en-US" w:eastAsia="zh-CN"/>
              </w:rPr>
              <w:t>汇编</w:t>
            </w:r>
            <w:r>
              <w:rPr>
                <w:rFonts w:hint="eastAsia" w:ascii="Arial" w:hAnsi="Arial" w:cs="Arial"/>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jc w:val="left"/>
              <w:rPr>
                <w:rFonts w:ascii="Times New Roman" w:hAnsi="Times New Roman" w:eastAsia="宋体" w:cs="Times New Roman"/>
                <w:kern w:val="2"/>
                <w:sz w:val="21"/>
                <w:lang w:val="en-US" w:eastAsia="zh-CN" w:bidi="ar-SA"/>
              </w:rPr>
            </w:pPr>
          </w:p>
        </w:tc>
        <w:tc>
          <w:tcPr>
            <w:tcW w:w="0" w:type="auto"/>
            <w:vAlign w:val="top"/>
          </w:tcPr>
          <w:p>
            <w:pPr>
              <w:rPr>
                <w:rFonts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21</w:t>
            </w:r>
            <w:r>
              <w:rPr>
                <w:rFonts w:hint="eastAsia" w:ascii="宋体" w:hAnsi="宋体"/>
                <w:szCs w:val="22"/>
              </w:rPr>
              <w:t>年</w:t>
            </w:r>
            <w:r>
              <w:rPr>
                <w:rFonts w:hint="eastAsia" w:ascii="宋体" w:hAnsi="宋体"/>
                <w:szCs w:val="22"/>
                <w:lang w:val="en-US" w:eastAsia="zh-CN"/>
              </w:rPr>
              <w:t>1</w:t>
            </w:r>
            <w:r>
              <w:rPr>
                <w:rFonts w:hint="eastAsia" w:ascii="宋体" w:hAnsi="宋体"/>
                <w:szCs w:val="22"/>
              </w:rPr>
              <w:t>月</w:t>
            </w:r>
            <w:r>
              <w:rPr>
                <w:rFonts w:hint="eastAsia" w:ascii="宋体" w:hAnsi="宋体"/>
                <w:szCs w:val="22"/>
                <w:lang w:val="en-US" w:eastAsia="zh-CN"/>
              </w:rPr>
              <w:t>8</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hint="eastAsia" w:ascii="Arial" w:hAnsi="Arial" w:eastAsia="宋体" w:cs="Arial"/>
                <w:kern w:val="2"/>
                <w:sz w:val="21"/>
                <w:szCs w:val="21"/>
                <w:lang w:val="en-US" w:eastAsia="zh-CN" w:bidi="ar-SA"/>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ascii="Times New Roman" w:hAnsi="Times New Roman" w:eastAsia="宋体" w:cs="Times New Roman"/>
                <w:kern w:val="2"/>
                <w:sz w:val="21"/>
                <w:lang w:val="en-US" w:eastAsia="zh-CN" w:bidi="ar-SA"/>
              </w:rPr>
            </w:pPr>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0" w:type="auto"/>
            <w:vAlign w:val="top"/>
          </w:tcPr>
          <w:p>
            <w:pPr>
              <w:rPr>
                <w:rFonts w:ascii="Times New Roman" w:hAnsi="Times New Roman" w:eastAsia="宋体" w:cs="Times New Roman"/>
                <w:kern w:val="2"/>
                <w:sz w:val="21"/>
                <w:lang w:val="en-US" w:eastAsia="zh-CN" w:bidi="ar-SA"/>
              </w:rPr>
            </w:pPr>
            <w:r>
              <w:rPr>
                <w:rFonts w:hint="eastAsia"/>
                <w:szCs w:val="21"/>
              </w:rPr>
              <w:t>6.1</w:t>
            </w:r>
          </w:p>
        </w:tc>
        <w:tc>
          <w:tcPr>
            <w:tcW w:w="0" w:type="auto"/>
            <w:vAlign w:val="top"/>
          </w:tcPr>
          <w:p>
            <w:pPr>
              <w:adjustRightInd w:val="0"/>
              <w:spacing w:line="360" w:lineRule="auto"/>
              <w:jc w:val="left"/>
              <w:rPr>
                <w:rFonts w:ascii="宋体"/>
                <w:szCs w:val="22"/>
              </w:rPr>
            </w:pPr>
            <w:r>
              <w:rPr>
                <w:rFonts w:hint="eastAsia" w:ascii="宋体"/>
                <w:szCs w:val="22"/>
              </w:rPr>
              <w:t>与组织目标和战略方向相关并影响其实现管理体系预期结果的各种外部和内部因素:</w:t>
            </w:r>
          </w:p>
          <w:p>
            <w:pPr>
              <w:adjustRightInd w:val="0"/>
              <w:spacing w:line="360" w:lineRule="auto"/>
              <w:jc w:val="left"/>
              <w:rPr>
                <w:rFonts w:ascii="宋体"/>
                <w:szCs w:val="22"/>
              </w:rPr>
            </w:pPr>
            <w:r>
              <w:rPr>
                <w:rFonts w:hint="eastAsia" w:ascii="宋体"/>
                <w:szCs w:val="22"/>
              </w:rPr>
              <w:t>1）确定情况：</w:t>
            </w:r>
          </w:p>
          <w:p>
            <w:pPr>
              <w:adjustRightInd w:val="0"/>
              <w:spacing w:line="360" w:lineRule="auto"/>
              <w:jc w:val="left"/>
              <w:rPr>
                <w:rFonts w:ascii="宋体"/>
                <w:szCs w:val="22"/>
              </w:rPr>
            </w:pPr>
            <w:r>
              <w:rPr>
                <w:rFonts w:hint="eastAsia" w:ascii="宋体"/>
                <w:szCs w:val="22"/>
              </w:rPr>
              <w:t>提供《组织的内外重要环境因素分析表》，确定了公司相关的内外部因素。</w:t>
            </w:r>
          </w:p>
          <w:p>
            <w:pPr>
              <w:adjustRightInd w:val="0"/>
              <w:spacing w:line="360" w:lineRule="auto"/>
              <w:jc w:val="left"/>
              <w:rPr>
                <w:rFonts w:ascii="宋体"/>
                <w:szCs w:val="22"/>
              </w:rPr>
            </w:pPr>
            <w:r>
              <w:rPr>
                <w:rFonts w:hint="eastAsia" w:ascii="宋体"/>
                <w:szCs w:val="22"/>
              </w:rPr>
              <w:t>2）监视和评审情况：</w:t>
            </w:r>
          </w:p>
          <w:p>
            <w:pPr>
              <w:adjustRightInd w:val="0"/>
              <w:spacing w:line="360" w:lineRule="auto"/>
              <w:jc w:val="left"/>
              <w:rPr>
                <w:rFonts w:hint="eastAsia" w:ascii="宋体" w:hAnsi="Times New Roman" w:eastAsia="宋体" w:cs="Times New Roman"/>
                <w:kern w:val="2"/>
                <w:sz w:val="21"/>
                <w:szCs w:val="22"/>
                <w:lang w:val="en-US" w:eastAsia="zh-CN" w:bidi="ar-SA"/>
              </w:rPr>
            </w:pPr>
            <w:r>
              <w:rPr>
                <w:rFonts w:hint="eastAsia" w:ascii="宋体"/>
                <w:szCs w:val="22"/>
              </w:rPr>
              <w:t xml:space="preserve">   每年监视评审一次，一般是从网络获取。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宋体" w:hAnsi="宋体"/>
                <w:b/>
                <w:szCs w:val="21"/>
              </w:rPr>
            </w:pPr>
          </w:p>
        </w:tc>
        <w:tc>
          <w:tcPr>
            <w:tcW w:w="0" w:type="auto"/>
            <w:vAlign w:val="top"/>
          </w:tcPr>
          <w:p>
            <w:pPr>
              <w:rPr>
                <w:rFonts w:hint="eastAsia"/>
                <w:szCs w:val="21"/>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提供《组织的内外重要环境因素分析表》，确定了公司相关的内外部因素。</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宋体" w:hAnsi="宋体"/>
                <w:b/>
                <w:szCs w:val="21"/>
              </w:rPr>
            </w:pPr>
          </w:p>
        </w:tc>
        <w:tc>
          <w:tcPr>
            <w:tcW w:w="0" w:type="auto"/>
            <w:vAlign w:val="top"/>
          </w:tcPr>
          <w:p>
            <w:pPr>
              <w:rPr>
                <w:rFonts w:hint="eastAsia"/>
                <w:szCs w:val="21"/>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hint="eastAsia" w:ascii="Arial" w:hAnsi="Arial" w:eastAsia="宋体" w:cs="Arial"/>
                <w:kern w:val="2"/>
                <w:sz w:val="21"/>
                <w:szCs w:val="21"/>
                <w:lang w:val="en-US" w:eastAsia="zh-CN" w:bidi="ar-SA"/>
              </w:rPr>
            </w:pPr>
            <w:r>
              <w:rPr>
                <w:rFonts w:hint="eastAsia" w:ascii="宋体" w:hAnsi="宋体"/>
                <w:szCs w:val="21"/>
              </w:rPr>
              <w:t>提供《风险和机遇评估分析表》，针对确定的风险和机遇明确了控制措施，同时也确定了责任部门、时间期限等。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tcPr>
          <w:p>
            <w:pPr>
              <w:rPr>
                <w:rFonts w:hint="eastAsia" w:ascii="宋体" w:hAnsi="宋体"/>
                <w:b/>
                <w:szCs w:val="21"/>
              </w:rPr>
            </w:pPr>
          </w:p>
        </w:tc>
        <w:tc>
          <w:tcPr>
            <w:tcW w:w="0" w:type="auto"/>
          </w:tcPr>
          <w:p>
            <w:pPr>
              <w:rPr>
                <w:rFonts w:hint="eastAsia"/>
                <w:szCs w:val="21"/>
              </w:rPr>
            </w:pPr>
          </w:p>
        </w:tc>
        <w:tc>
          <w:tcPr>
            <w:tcW w:w="0" w:type="auto"/>
            <w:vAlign w:val="top"/>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numPr>
                <w:ilvl w:val="0"/>
                <w:numId w:val="0"/>
              </w:numPr>
              <w:spacing w:line="720" w:lineRule="exact"/>
              <w:rPr>
                <w:rFonts w:hint="eastAsia" w:ascii="宋体" w:hAnsi="宋体" w:eastAsia="宋体" w:cs="Times New Roman"/>
                <w:szCs w:val="21"/>
                <w:lang w:val="en-US" w:eastAsia="zh-CN"/>
              </w:rPr>
            </w:pPr>
            <w:r>
              <w:rPr>
                <w:rFonts w:hint="eastAsia" w:ascii="宋体" w:hAnsi="宋体"/>
                <w:szCs w:val="21"/>
              </w:rPr>
              <w:t>1）过</w:t>
            </w:r>
            <w:r>
              <w:rPr>
                <w:rFonts w:hint="eastAsia" w:ascii="宋体" w:hAnsi="宋体" w:cs="Times New Roman"/>
                <w:szCs w:val="21"/>
              </w:rPr>
              <w:t>程描述：</w:t>
            </w:r>
            <w:r>
              <w:rPr>
                <w:rFonts w:hint="eastAsia" w:ascii="宋体" w:hAnsi="宋体" w:cs="Times New Roman"/>
                <w:szCs w:val="21"/>
                <w:lang w:val="en-US" w:eastAsia="zh-CN"/>
              </w:rPr>
              <w:t xml:space="preserve"> </w:t>
            </w:r>
          </w:p>
          <w:p>
            <w:pPr>
              <w:numPr>
                <w:ilvl w:val="0"/>
                <w:numId w:val="0"/>
              </w:numPr>
              <w:spacing w:line="240" w:lineRule="auto"/>
              <w:ind w:left="640" w:leftChars="0"/>
              <w:rPr>
                <w:rFonts w:ascii="宋体" w:hAnsi="宋体"/>
                <w:szCs w:val="21"/>
              </w:rPr>
            </w:pPr>
            <w:r>
              <w:rPr>
                <w:rFonts w:hint="eastAsia" w:ascii="宋体" w:hAnsi="宋体" w:cs="Times New Roman"/>
                <w:szCs w:val="21"/>
                <w:lang w:val="en-US" w:eastAsia="zh-CN"/>
              </w:rPr>
              <w:t xml:space="preserve">  </w:t>
            </w:r>
          </w:p>
          <w:p>
            <w:pPr>
              <w:rPr>
                <w:rFonts w:hint="eastAsia"/>
                <w:szCs w:val="21"/>
              </w:rPr>
            </w:pPr>
            <w:r>
              <w:rPr>
                <w:rFonts w:hint="eastAsia" w:ascii="宋体" w:hAnsi="宋体"/>
                <w:szCs w:val="21"/>
              </w:rPr>
              <w:t xml:space="preserve">    </w:t>
            </w:r>
            <w:r>
              <w:rPr>
                <w:rFonts w:hint="eastAsia"/>
                <w:szCs w:val="21"/>
              </w:rPr>
              <w:t xml:space="preserve"> 过程：</w:t>
            </w:r>
          </w:p>
          <w:p>
            <w:pPr>
              <w:rPr>
                <w:rFonts w:hint="default"/>
                <w:szCs w:val="21"/>
                <w:lang w:val="en-US" w:eastAsia="zh-CN"/>
              </w:rPr>
            </w:pP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lang w:val="en-US" w:eastAsia="zh-CN"/>
              </w:rPr>
              <w:t>；</w:t>
            </w:r>
            <w:r>
              <w:rPr>
                <w:rFonts w:hint="eastAsia" w:ascii="宋体" w:hAnsi="宋体"/>
              </w:rPr>
              <w:t xml:space="preserve"> </w:t>
            </w:r>
          </w:p>
          <w:p>
            <w:pPr>
              <w:adjustRightInd w:val="0"/>
              <w:spacing w:line="360" w:lineRule="auto"/>
              <w:ind w:firstLine="315" w:firstLineChars="150"/>
              <w:jc w:val="left"/>
              <w:rPr>
                <w:rFonts w:hint="eastAsia" w:ascii="宋体" w:hAnsi="宋体" w:eastAsia="宋体" w:cs="Times New Roman"/>
                <w:kern w:val="2"/>
                <w:sz w:val="21"/>
                <w:szCs w:val="21"/>
                <w:lang w:val="en-US" w:eastAsia="zh-CN" w:bidi="ar-SA"/>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tcPr>
          <w:p>
            <w:pPr>
              <w:rPr>
                <w:rFonts w:hint="eastAsia" w:ascii="宋体" w:hAnsi="宋体"/>
                <w:b/>
                <w:szCs w:val="21"/>
              </w:rPr>
            </w:pPr>
          </w:p>
        </w:tc>
        <w:tc>
          <w:tcPr>
            <w:tcW w:w="0" w:type="auto"/>
          </w:tcPr>
          <w:p>
            <w:pPr>
              <w:rPr>
                <w:rFonts w:hint="eastAsia"/>
                <w:szCs w:val="21"/>
              </w:rPr>
            </w:pPr>
          </w:p>
        </w:tc>
        <w:tc>
          <w:tcPr>
            <w:tcW w:w="0" w:type="auto"/>
            <w:vAlign w:val="top"/>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sym w:font="Wingdings 2" w:char="0052"/>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sym w:font="Wingdings 2" w:char="00A3"/>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 xml:space="preserve"> </w:t>
            </w:r>
          </w:p>
          <w:p>
            <w:pPr>
              <w:tabs>
                <w:tab w:val="left" w:pos="1305"/>
              </w:tabs>
              <w:rPr>
                <w:rFonts w:hint="eastAsia" w:ascii="宋体" w:hAnsi="宋体" w:eastAsia="宋体" w:cs="Times New Roman"/>
                <w:kern w:val="2"/>
                <w:sz w:val="21"/>
                <w:szCs w:val="21"/>
                <w:lang w:val="en-US" w:eastAsia="zh-CN" w:bidi="ar-SA"/>
              </w:rPr>
            </w:pPr>
            <w:r>
              <w:rPr>
                <w:rFonts w:hint="eastAsia" w:ascii="宋体" w:hAnsi="宋体"/>
              </w:rPr>
              <w:t xml:space="preserve">   </w:t>
            </w:r>
            <w:r>
              <w:rPr>
                <w:rFonts w:hint="eastAsia" w:ascii="宋体" w:hAnsi="宋体"/>
                <w:u w:val="single"/>
                <w:lang w:val="en-US" w:eastAsia="zh-CN"/>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tcPr>
          <w:p>
            <w:pPr>
              <w:rPr>
                <w:rFonts w:hint="eastAsia" w:ascii="宋体" w:hAnsi="宋体"/>
                <w:b/>
                <w:szCs w:val="21"/>
              </w:rPr>
            </w:pPr>
          </w:p>
        </w:tc>
        <w:tc>
          <w:tcPr>
            <w:tcW w:w="0" w:type="auto"/>
          </w:tcPr>
          <w:p>
            <w:pPr>
              <w:rPr>
                <w:rFonts w:hint="eastAsia"/>
                <w:szCs w:val="21"/>
              </w:rPr>
            </w:pPr>
          </w:p>
        </w:tc>
        <w:tc>
          <w:tcPr>
            <w:tcW w:w="0" w:type="auto"/>
            <w:vAlign w:val="top"/>
          </w:tcPr>
          <w:p>
            <w:pPr>
              <w:adjustRightInd w:val="0"/>
              <w:spacing w:line="360" w:lineRule="auto"/>
              <w:jc w:val="left"/>
            </w:pPr>
            <w:r>
              <w:rPr>
                <w:rFonts w:hint="eastAsia"/>
              </w:rPr>
              <w:t>6、环境因素识别与评价：</w:t>
            </w:r>
          </w:p>
          <w:p>
            <w:pPr>
              <w:adjustRightInd w:val="0"/>
              <w:spacing w:line="360" w:lineRule="auto"/>
              <w:jc w:val="left"/>
            </w:pPr>
            <w:r>
              <w:t>1</w:t>
            </w:r>
            <w:r>
              <w:rPr>
                <w:rFonts w:hint="eastAsia"/>
              </w:rPr>
              <w:t>）识别了办公过程、采购过程、</w:t>
            </w:r>
            <w:r>
              <w:rPr>
                <w:rFonts w:hint="eastAsia"/>
                <w:lang w:val="en-US" w:eastAsia="zh-CN"/>
              </w:rPr>
              <w:t>生产和质检过程、</w:t>
            </w:r>
            <w:r>
              <w:rPr>
                <w:rFonts w:hint="eastAsia"/>
              </w:rPr>
              <w:t>销售过程</w:t>
            </w:r>
            <w:r>
              <w:t xml:space="preserve"> </w:t>
            </w:r>
            <w:r>
              <w:rPr>
                <w:rFonts w:hint="eastAsia"/>
              </w:rPr>
              <w:t>的环境因素。</w:t>
            </w:r>
          </w:p>
          <w:p>
            <w:pPr>
              <w:adjustRightInd w:val="0"/>
              <w:spacing w:line="360" w:lineRule="auto"/>
              <w:jc w:val="left"/>
            </w:pPr>
            <w:r>
              <w:t>2</w:t>
            </w:r>
            <w:r>
              <w:rPr>
                <w:rFonts w:hint="eastAsia"/>
              </w:rPr>
              <w:t>）重要环境因素</w:t>
            </w:r>
            <w:r>
              <w:t xml:space="preserve"> </w:t>
            </w:r>
            <w:r>
              <w:rPr>
                <w:rFonts w:hint="eastAsia"/>
                <w:lang w:val="en-US" w:eastAsia="zh-CN"/>
              </w:rPr>
              <w:t>7</w:t>
            </w:r>
            <w:r>
              <w:t xml:space="preserve"> </w:t>
            </w:r>
            <w:r>
              <w:rPr>
                <w:rFonts w:hint="eastAsia"/>
              </w:rPr>
              <w:t>项，经评价为重要环境因素的有：</w:t>
            </w:r>
          </w:p>
          <w:p>
            <w:pPr>
              <w:adjustRightInd w:val="0"/>
              <w:spacing w:line="360" w:lineRule="auto"/>
              <w:jc w:val="left"/>
              <w:rPr>
                <w:rFonts w:hint="eastAsia"/>
              </w:rPr>
            </w:pPr>
            <w:r>
              <w:rPr>
                <w:rFonts w:hint="eastAsia"/>
              </w:rPr>
              <w:t>噪声</w:t>
            </w:r>
            <w:r>
              <w:rPr>
                <w:rFonts w:hint="eastAsia"/>
                <w:lang w:eastAsia="zh-CN"/>
              </w:rPr>
              <w:t>、</w:t>
            </w:r>
            <w:r>
              <w:rPr>
                <w:rFonts w:hint="eastAsia"/>
                <w:lang w:val="en-US" w:eastAsia="zh-CN"/>
              </w:rPr>
              <w:t>生活废水、固废污染（</w:t>
            </w:r>
            <w:r>
              <w:rPr>
                <w:rFonts w:hint="eastAsia"/>
              </w:rPr>
              <w:t>废乳化液、废防锈剂、废消泡剂、废油抹布手套的产生</w:t>
            </w:r>
            <w:r>
              <w:rPr>
                <w:rFonts w:hint="eastAsia"/>
                <w:lang w:eastAsia="zh-CN"/>
              </w:rPr>
              <w:t>、金属边角料的废弃、生活垃圾的废弃）、</w:t>
            </w:r>
            <w:r>
              <w:rPr>
                <w:rFonts w:hint="eastAsia"/>
              </w:rPr>
              <w:t>潜在火灾事故</w:t>
            </w:r>
            <w:r>
              <w:rPr>
                <w:rFonts w:hint="eastAsia"/>
                <w:lang w:eastAsia="zh-CN"/>
              </w:rPr>
              <w:t>、</w:t>
            </w:r>
            <w:r>
              <w:rPr>
                <w:rFonts w:hint="eastAsia"/>
                <w:lang w:val="en-US" w:eastAsia="zh-CN"/>
              </w:rPr>
              <w:t>化学品（如乳化液、防锈剂、消泡剂等）的泄露</w:t>
            </w:r>
            <w:r>
              <w:rPr>
                <w:rFonts w:hint="eastAsia"/>
              </w:rPr>
              <w:t>。</w:t>
            </w:r>
          </w:p>
          <w:p>
            <w:pPr>
              <w:adjustRightInd w:val="0"/>
              <w:spacing w:line="360" w:lineRule="auto"/>
              <w:jc w:val="left"/>
            </w:pPr>
            <w:r>
              <w:rPr>
                <w:rFonts w:hint="eastAsia"/>
              </w:rPr>
              <w:t>3）重要环境因素评价：</w:t>
            </w:r>
          </w:p>
          <w:p>
            <w:pPr>
              <w:adjustRightInd w:val="0"/>
              <w:spacing w:line="360" w:lineRule="auto"/>
              <w:jc w:val="left"/>
            </w:pPr>
            <w:r>
              <w:rPr>
                <w:rFonts w:hint="eastAsia"/>
              </w:rPr>
              <w:t>■齐全</w:t>
            </w:r>
          </w:p>
          <w:p>
            <w:pPr>
              <w:adjustRightInd w:val="0"/>
              <w:spacing w:line="360" w:lineRule="auto"/>
              <w:jc w:val="left"/>
            </w:pPr>
            <w:r>
              <w:rPr>
                <w:rFonts w:hint="eastAsia"/>
              </w:rPr>
              <w:t>□有遗漏，遗漏部分有：</w:t>
            </w:r>
            <w:r>
              <w:t xml:space="preserve"> </w:t>
            </w:r>
          </w:p>
          <w:p>
            <w:pPr>
              <w:pStyle w:val="2"/>
              <w:ind w:firstLine="420" w:firstLineChars="200"/>
              <w:rPr>
                <w:rFonts w:hint="eastAsia" w:ascii="Times New Roman" w:hAnsi="Times New Roman" w:eastAsia="宋体" w:cs="Times New Roman"/>
                <w:kern w:val="2"/>
                <w:sz w:val="21"/>
                <w:lang w:val="en-US" w:eastAsia="zh-CN" w:bidi="ar-SA"/>
              </w:rPr>
            </w:pPr>
            <w:r>
              <w:rPr>
                <w:rFonts w:hint="eastAsia" w:ascii="宋体" w:hAnsi="宋体"/>
                <w:lang w:val="en-US" w:eastAsia="zh-CN"/>
              </w:rPr>
              <w:t>提供环境（废水、 噪声）检测报告</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pPr>
            <w:r>
              <w:rPr>
                <w:rFonts w:hint="eastAsia"/>
              </w:rPr>
              <w:t>7、（</w:t>
            </w:r>
            <w:r>
              <w:t>OHSAS</w:t>
            </w:r>
            <w:r>
              <w:rPr>
                <w:rFonts w:hint="eastAsia"/>
              </w:rPr>
              <w:t>）危险源辩识与评价</w:t>
            </w:r>
          </w:p>
          <w:p>
            <w:pPr>
              <w:adjustRightInd w:val="0"/>
              <w:spacing w:line="360" w:lineRule="auto"/>
              <w:jc w:val="left"/>
            </w:pPr>
            <w:r>
              <w:t>1</w:t>
            </w:r>
            <w:r>
              <w:rPr>
                <w:rFonts w:hint="eastAsia"/>
              </w:rPr>
              <w:t xml:space="preserve">）识别了 </w:t>
            </w:r>
            <w:r>
              <w:t xml:space="preserve"> </w:t>
            </w:r>
            <w:r>
              <w:rPr>
                <w:rFonts w:hint="eastAsia"/>
              </w:rPr>
              <w:t>办公过程、采购过程、</w:t>
            </w:r>
            <w:r>
              <w:rPr>
                <w:rFonts w:hint="eastAsia"/>
                <w:lang w:val="en-US" w:eastAsia="zh-CN"/>
              </w:rPr>
              <w:t>生产和质检过程、</w:t>
            </w:r>
            <w:r>
              <w:rPr>
                <w:rFonts w:hint="eastAsia"/>
              </w:rPr>
              <w:t>销售过程</w:t>
            </w:r>
            <w:r>
              <w:t xml:space="preserve"> </w:t>
            </w:r>
            <w:r>
              <w:rPr>
                <w:rFonts w:hint="eastAsia"/>
              </w:rPr>
              <w:t>的危险源；</w:t>
            </w:r>
          </w:p>
          <w:p>
            <w:pPr>
              <w:adjustRightInd w:val="0"/>
              <w:spacing w:line="360" w:lineRule="auto"/>
              <w:jc w:val="left"/>
            </w:pPr>
            <w:r>
              <w:t>2</w:t>
            </w:r>
            <w:r>
              <w:rPr>
                <w:rFonts w:hint="eastAsia"/>
              </w:rPr>
              <w:t>）重要危险源</w:t>
            </w:r>
            <w:r>
              <w:t xml:space="preserve"> </w:t>
            </w:r>
            <w:r>
              <w:rPr>
                <w:rFonts w:hint="eastAsia"/>
                <w:lang w:val="en-US" w:eastAsia="zh-CN"/>
              </w:rPr>
              <w:t>5</w:t>
            </w:r>
            <w:r>
              <w:rPr>
                <w:rFonts w:hint="eastAsia"/>
              </w:rPr>
              <w:t>项，包括：</w:t>
            </w:r>
          </w:p>
          <w:p>
            <w:pPr>
              <w:spacing w:line="240" w:lineRule="exact"/>
              <w:jc w:val="both"/>
              <w:rPr>
                <w:rFonts w:hint="default"/>
                <w:lang w:val="en-US" w:eastAsia="zh-CN"/>
              </w:rPr>
            </w:pPr>
            <w:r>
              <w:rPr>
                <w:rFonts w:hint="eastAsia" w:ascii="宋体" w:hAnsi="宋体"/>
                <w:color w:val="000000"/>
                <w:szCs w:val="21"/>
              </w:rPr>
              <w:t>机械伤害</w:t>
            </w:r>
            <w:r>
              <w:rPr>
                <w:rFonts w:hint="eastAsia" w:ascii="宋体" w:hAnsi="宋体"/>
                <w:color w:val="000000"/>
                <w:szCs w:val="21"/>
                <w:lang w:eastAsia="zh-CN"/>
              </w:rPr>
              <w:t>、</w:t>
            </w:r>
            <w:r>
              <w:rPr>
                <w:rFonts w:hint="eastAsia" w:ascii="宋体" w:hAnsi="宋体"/>
                <w:color w:val="000000"/>
                <w:szCs w:val="21"/>
              </w:rPr>
              <w:t>潜在火灾发生</w:t>
            </w:r>
            <w:r>
              <w:rPr>
                <w:rFonts w:hint="eastAsia" w:ascii="宋体" w:hAnsi="宋体"/>
                <w:color w:val="000000"/>
                <w:szCs w:val="21"/>
                <w:lang w:eastAsia="zh-CN"/>
              </w:rPr>
              <w:t>、</w:t>
            </w:r>
            <w:r>
              <w:rPr>
                <w:rFonts w:hint="eastAsia" w:ascii="宋体" w:hAnsi="宋体"/>
                <w:color w:val="000000"/>
                <w:szCs w:val="21"/>
              </w:rPr>
              <w:t>职业病（噪声聋、呼吸道损害）</w:t>
            </w:r>
            <w:r>
              <w:rPr>
                <w:rFonts w:hint="eastAsia" w:ascii="宋体" w:hAnsi="宋体"/>
                <w:color w:val="000000"/>
                <w:szCs w:val="21"/>
                <w:lang w:eastAsia="zh-CN"/>
              </w:rPr>
              <w:t>、</w:t>
            </w:r>
            <w:r>
              <w:rPr>
                <w:rFonts w:hint="eastAsia" w:ascii="宋体" w:hAnsi="宋体"/>
                <w:color w:val="000000"/>
                <w:szCs w:val="21"/>
              </w:rPr>
              <w:t>物体打击</w:t>
            </w:r>
            <w:r>
              <w:rPr>
                <w:rFonts w:hint="eastAsia" w:ascii="宋体" w:hAnsi="宋体"/>
                <w:color w:val="000000"/>
                <w:szCs w:val="21"/>
                <w:lang w:eastAsia="zh-CN"/>
              </w:rPr>
              <w:t>、</w:t>
            </w:r>
            <w:r>
              <w:rPr>
                <w:rFonts w:hint="eastAsia" w:ascii="宋体" w:hAnsi="宋体"/>
                <w:color w:val="000000"/>
                <w:szCs w:val="21"/>
              </w:rPr>
              <w:t>触电</w:t>
            </w:r>
            <w:r>
              <w:rPr>
                <w:rFonts w:hint="eastAsia"/>
                <w:lang w:val="en-US" w:eastAsia="zh-CN"/>
              </w:rPr>
              <w:t>等5类；</w:t>
            </w:r>
          </w:p>
          <w:p>
            <w:pPr>
              <w:adjustRightInd w:val="0"/>
              <w:spacing w:line="360" w:lineRule="auto"/>
              <w:jc w:val="left"/>
            </w:pPr>
            <w:r>
              <w:rPr>
                <w:rFonts w:hint="eastAsia"/>
              </w:rPr>
              <w:t>3）重要危险源评价：</w:t>
            </w:r>
          </w:p>
          <w:p>
            <w:pPr>
              <w:adjustRightInd w:val="0"/>
              <w:spacing w:line="360" w:lineRule="auto"/>
              <w:jc w:val="left"/>
              <w:rPr>
                <w:rFonts w:hint="eastAsia"/>
                <w:lang w:eastAsia="zh-CN"/>
              </w:rPr>
            </w:pPr>
            <w:r>
              <w:rPr>
                <w:rFonts w:hint="eastAsia"/>
                <w:lang w:eastAsia="zh-CN"/>
              </w:rPr>
              <w:sym w:font="Wingdings 2" w:char="0052"/>
            </w:r>
            <w:r>
              <w:rPr>
                <w:rFonts w:hint="eastAsia"/>
              </w:rPr>
              <w:t>齐全</w:t>
            </w:r>
          </w:p>
          <w:p>
            <w:pPr>
              <w:adjustRightInd w:val="0"/>
              <w:spacing w:line="360" w:lineRule="auto"/>
              <w:jc w:val="left"/>
              <w:rPr>
                <w:rFonts w:hint="eastAsia"/>
                <w:lang w:val="en-US" w:eastAsia="zh-CN"/>
              </w:rPr>
            </w:pPr>
            <w:r>
              <w:rPr>
                <w:rFonts w:hint="eastAsia"/>
              </w:rPr>
              <w:sym w:font="Wingdings 2" w:char="00A3"/>
            </w:r>
            <w:r>
              <w:rPr>
                <w:rFonts w:hint="eastAsia"/>
              </w:rPr>
              <w:t>有遗漏，遗漏部分有：</w:t>
            </w:r>
            <w:r>
              <w:t xml:space="preserve"> </w:t>
            </w:r>
            <w:r>
              <w:rPr>
                <w:rFonts w:hint="eastAsia"/>
                <w:lang w:val="en-US" w:eastAsia="zh-CN"/>
              </w:rPr>
              <w:t xml:space="preserve"> </w:t>
            </w:r>
          </w:p>
          <w:p>
            <w:pPr>
              <w:pStyle w:val="2"/>
              <w:ind w:firstLine="420" w:firstLineChars="200"/>
              <w:rPr>
                <w:rFonts w:hint="eastAsia" w:ascii="Times New Roman" w:hAnsi="Times New Roman" w:eastAsia="宋体" w:cs="Times New Roman"/>
                <w:kern w:val="2"/>
                <w:sz w:val="21"/>
                <w:lang w:val="en-US" w:eastAsia="zh-CN" w:bidi="ar-SA"/>
              </w:rPr>
            </w:pPr>
            <w:r>
              <w:rPr>
                <w:rFonts w:hint="eastAsia"/>
                <w:lang w:val="en-US" w:eastAsia="zh-CN"/>
              </w:rPr>
              <w:t>未提供危害因子检测报告，提供人员体检报告；</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szCs w:val="21"/>
              </w:rPr>
              <w:t>相关法律法规及其它要求的遵守情况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rPr>
              <w:sym w:font="Wingdings 2" w:char="0052"/>
            </w:r>
            <w:r>
              <w:rPr>
                <w:rFonts w:hint="eastAsia" w:ascii="宋体" w:hAnsi="宋体"/>
                <w:color w:val="000000"/>
                <w:szCs w:val="21"/>
              </w:rPr>
              <w:t>组织的</w:t>
            </w:r>
            <w:r>
              <w:rPr>
                <w:rFonts w:hint="eastAsia" w:ascii="宋体" w:hAnsi="宋体"/>
                <w:color w:val="000000"/>
              </w:rPr>
              <w:t>营业执照；</w:t>
            </w:r>
            <w:r>
              <w:rPr>
                <w:rFonts w:hint="eastAsia" w:ascii="宋体" w:hAnsi="宋体"/>
              </w:rPr>
              <w:sym w:font="Wingdings 2" w:char="00A3"/>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sym w:font="Wingdings 2" w:char="0052"/>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52"/>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说明：</w:t>
            </w:r>
            <w:r>
              <w:rPr>
                <w:rFonts w:ascii="宋体" w:hAnsi="宋体"/>
                <w:u w:val="single"/>
              </w:rPr>
              <w:t xml:space="preserve"> </w:t>
            </w:r>
            <w:r>
              <w:rPr>
                <w:rFonts w:hint="eastAsia" w:ascii="宋体" w:hAnsi="宋体"/>
                <w:u w:val="single"/>
                <w:lang w:val="en-US" w:eastAsia="zh-CN"/>
              </w:rPr>
              <w:t>环评批复文件：富阳市环境保护局富环开发【2009】297号文件环境影响报告表的审批意见</w:t>
            </w:r>
            <w:r>
              <w:rPr>
                <w:rFonts w:ascii="宋体" w:hAnsi="宋体"/>
                <w:u w:val="single"/>
              </w:rPr>
              <w:t xml:space="preserve"> </w:t>
            </w:r>
            <w:r>
              <w:rPr>
                <w:rFonts w:hint="eastAsia" w:ascii="宋体" w:hAnsi="宋体"/>
                <w:u w:val="single"/>
                <w:lang w:val="en-US" w:eastAsia="zh-CN"/>
              </w:rPr>
              <w:t>三同时验收意见、固定污染源排污登记表</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宋体" w:hAnsi="宋体"/>
                <w:b/>
                <w:szCs w:val="21"/>
              </w:rPr>
            </w:pP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numPr>
                <w:ilvl w:val="0"/>
                <w:numId w:val="2"/>
              </w:numPr>
              <w:adjustRightInd w:val="0"/>
              <w:spacing w:line="360" w:lineRule="auto"/>
              <w:jc w:val="left"/>
              <w:rPr>
                <w:rFonts w:hint="eastAsia" w:ascii="宋体" w:hAnsi="宋体" w:eastAsia="宋体" w:cs="Times New Roman"/>
                <w:kern w:val="2"/>
                <w:sz w:val="21"/>
                <w:szCs w:val="21"/>
                <w:highlight w:val="yellow"/>
                <w:lang w:val="en-US" w:eastAsia="zh-CN" w:bidi="ar-SA"/>
              </w:rPr>
            </w:pP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4"/>
                <w:highlight w:val="none"/>
                <w:u w:val="single"/>
              </w:rPr>
              <w:t>环保法、消防法、大气污染防治法、水污染防治法、</w:t>
            </w:r>
            <w:r>
              <w:rPr>
                <w:rFonts w:hint="eastAsia" w:ascii="宋体" w:hAnsi="宋体"/>
                <w:szCs w:val="24"/>
                <w:highlight w:val="none"/>
                <w:u w:val="single"/>
                <w:lang w:eastAsia="zh-CN"/>
              </w:rPr>
              <w:t>浙江省安全生产条例、</w:t>
            </w:r>
            <w:r>
              <w:rPr>
                <w:rFonts w:hint="eastAsia" w:ascii="宋体" w:hAnsi="宋体"/>
                <w:szCs w:val="24"/>
                <w:highlight w:val="none"/>
                <w:u w:val="single"/>
              </w:rPr>
              <w:t xml:space="preserve">所识别的法律法规中中华人民共和国环境噪声污染防治法（2016）、中华人民共和国消防法（2009）、中华人民共和国环境影响评价法（2016）等未收集最新修订版本。   </w:t>
            </w:r>
            <w:r>
              <w:rPr>
                <w:rFonts w:hint="eastAsia" w:ascii="宋体" w:hAnsi="宋体"/>
                <w:szCs w:val="24"/>
                <w:highlight w:val="none"/>
                <w:u w:val="single"/>
                <w:lang w:val="en-US" w:eastAsia="zh-CN"/>
              </w:rPr>
              <w:t>GB8978-1996《污水综合排放标准》、GB16297-1996《大气污染物综合排放标准》、GB3095-2012《环境空气质量标准》、GB3096-2008《声环境质量标准》</w:t>
            </w:r>
            <w:r>
              <w:rPr>
                <w:rFonts w:hint="eastAsia" w:ascii="宋体" w:hAnsi="宋体"/>
                <w:szCs w:val="24"/>
                <w:highlight w:val="none"/>
                <w:u w:val="single"/>
              </w:rPr>
              <w:t xml:space="preserve">  </w:t>
            </w:r>
            <w:r>
              <w:rPr>
                <w:rFonts w:hint="eastAsia" w:ascii="宋体" w:hAnsi="宋体"/>
                <w:szCs w:val="24"/>
                <w:highlight w:val="none"/>
                <w:u w:val="single"/>
                <w:lang w:val="en-US" w:eastAsia="zh-CN"/>
              </w:rPr>
              <w:t>GBZ2.1-2019《工作场所有害因素职业接触限值 第2部分：化学有害因素》；</w:t>
            </w:r>
            <w:r>
              <w:rPr>
                <w:rFonts w:ascii="宋体" w:hAnsi="宋体"/>
                <w:szCs w:val="21"/>
                <w:highlight w:val="none"/>
                <w:u w:val="single"/>
              </w:rPr>
              <w:t xml:space="preserve">  </w:t>
            </w:r>
            <w:r>
              <w:rPr>
                <w:rFonts w:hint="eastAsia" w:ascii="宋体" w:hAnsi="宋体"/>
                <w:szCs w:val="24"/>
                <w:highlight w:val="none"/>
                <w:u w:val="single"/>
                <w:lang w:val="en-US" w:eastAsia="zh-CN"/>
              </w:rPr>
              <w:t>GBZ2.2-2007《工作场所有害因素职业接触限值 第2部分：物理因素》；</w:t>
            </w:r>
            <w:r>
              <w:rPr>
                <w:rFonts w:ascii="宋体" w:hAnsi="宋体"/>
                <w:szCs w:val="21"/>
                <w:highlight w:val="none"/>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宋体" w:hAnsi="宋体"/>
                <w:b/>
                <w:szCs w:val="21"/>
              </w:rPr>
            </w:pPr>
          </w:p>
        </w:tc>
        <w:tc>
          <w:tcPr>
            <w:tcW w:w="0" w:type="auto"/>
            <w:vAlign w:val="top"/>
          </w:tcPr>
          <w:p>
            <w:pPr>
              <w:rPr>
                <w:rFonts w:hint="eastAsia" w:ascii="Times New Roman" w:hAnsi="Times New Roman" w:eastAsia="宋体" w:cs="Times New Roman"/>
                <w:kern w:val="2"/>
                <w:sz w:val="21"/>
                <w:lang w:val="en-US" w:eastAsia="zh-CN" w:bidi="ar-S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szCs w:val="21"/>
              </w:rPr>
              <w:t>运行控制和关键绩效：</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rPr>
              <w:t>8.1</w:t>
            </w:r>
          </w:p>
        </w:tc>
        <w:tc>
          <w:tcPr>
            <w:tcW w:w="0" w:type="auto"/>
            <w:vAlign w:val="top"/>
          </w:tcPr>
          <w:p>
            <w:pPr>
              <w:adjustRightInd w:val="0"/>
              <w:spacing w:line="360" w:lineRule="auto"/>
              <w:jc w:val="left"/>
              <w:rPr>
                <w:rFonts w:hint="eastAsia" w:ascii="宋体" w:hAnsi="宋体"/>
                <w:szCs w:val="24"/>
                <w:highlight w:val="none"/>
                <w:u w:val="single"/>
                <w:lang w:val="en-US" w:eastAsia="zh-CN"/>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lang w:val="en-US" w:eastAsia="zh-CN"/>
              </w:rPr>
              <w:t xml:space="preserve"> </w:t>
            </w:r>
            <w:r>
              <w:rPr>
                <w:rFonts w:hint="eastAsia" w:ascii="宋体" w:hAnsi="宋体"/>
                <w:szCs w:val="24"/>
                <w:highlight w:val="none"/>
                <w:u w:val="single"/>
                <w:lang w:val="en-US" w:eastAsia="zh-CN"/>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eastAsia="宋体" w:cs="宋体"/>
                <w:szCs w:val="21"/>
              </w:rPr>
              <w:sym w:font="Wingdings 2" w:char="00A3"/>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 xml:space="preserve">  </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lang w:eastAsia="zh-CN"/>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b/>
                <w:szCs w:val="21"/>
              </w:rPr>
              <w:t xml:space="preserve">       能满足顾客的要求，顾客反应良好，质量较好。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宋体" w:hAnsi="宋体"/>
                <w:b/>
                <w:szCs w:val="21"/>
              </w:rPr>
            </w:pPr>
          </w:p>
        </w:tc>
        <w:tc>
          <w:tcPr>
            <w:tcW w:w="0" w:type="auto"/>
            <w:vAlign w:val="top"/>
          </w:tcPr>
          <w:p>
            <w:pPr>
              <w:rPr>
                <w:rFonts w:hint="eastAsi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hint="eastAsia" w:ascii="宋体" w:hAnsi="宋体" w:eastAsia="宋体"/>
                <w:lang w:eastAsia="zh-CN"/>
              </w:rPr>
            </w:pPr>
            <w:r>
              <w:rPr>
                <w:rFonts w:hint="eastAsia" w:ascii="宋体" w:hAnsi="宋体"/>
                <w:szCs w:val="21"/>
              </w:rPr>
              <w:t>a.主要污染物为：</w:t>
            </w:r>
            <w:r>
              <w:rPr>
                <w:rFonts w:hint="eastAsia" w:ascii="宋体" w:hAnsi="宋体"/>
                <w:szCs w:val="22"/>
                <w:u w:val="single"/>
                <w:lang w:val="en-US" w:eastAsia="zh-CN"/>
              </w:rPr>
              <w:t>生产危险</w:t>
            </w:r>
            <w:r>
              <w:rPr>
                <w:rFonts w:hint="eastAsia" w:ascii="宋体" w:hAnsi="宋体"/>
                <w:szCs w:val="22"/>
                <w:u w:val="single"/>
              </w:rPr>
              <w:t>固废排放</w:t>
            </w:r>
            <w:r>
              <w:rPr>
                <w:rFonts w:hint="eastAsia" w:ascii="宋体" w:hAnsi="宋体"/>
                <w:szCs w:val="22"/>
                <w:u w:val="single"/>
                <w:lang w:eastAsia="zh-CN"/>
              </w:rPr>
              <w:t>（</w:t>
            </w:r>
            <w:r>
              <w:rPr>
                <w:rFonts w:hint="eastAsia" w:ascii="宋体" w:hAnsi="宋体"/>
                <w:szCs w:val="22"/>
                <w:u w:val="single"/>
                <w:lang w:val="en-US" w:eastAsia="zh-CN"/>
              </w:rPr>
              <w:t>边角料、废乳化液</w:t>
            </w:r>
            <w:r>
              <w:rPr>
                <w:rFonts w:hint="eastAsia" w:ascii="宋体" w:hAnsi="宋体"/>
                <w:szCs w:val="22"/>
                <w:u w:val="single"/>
                <w:lang w:eastAsia="zh-CN"/>
              </w:rPr>
              <w:t>）</w:t>
            </w:r>
            <w:r>
              <w:rPr>
                <w:rFonts w:hint="eastAsia" w:ascii="宋体" w:hAnsi="宋体"/>
                <w:szCs w:val="22"/>
                <w:u w:val="single"/>
              </w:rPr>
              <w:t>、</w:t>
            </w:r>
            <w:r>
              <w:rPr>
                <w:rFonts w:hint="eastAsia" w:ascii="宋体" w:hAnsi="宋体"/>
                <w:szCs w:val="22"/>
                <w:u w:val="single"/>
                <w:lang w:val="en-US" w:eastAsia="zh-CN"/>
              </w:rPr>
              <w:t>生活废水、噪声排放、</w:t>
            </w:r>
            <w:r>
              <w:rPr>
                <w:rFonts w:hint="eastAsia" w:ascii="宋体" w:hAnsi="宋体"/>
                <w:szCs w:val="22"/>
                <w:u w:val="single"/>
              </w:rPr>
              <w:t>火灾等。</w:t>
            </w:r>
            <w:r>
              <w:rPr>
                <w:rFonts w:hint="eastAsia" w:ascii="宋体" w:hAnsi="宋体"/>
                <w:szCs w:val="22"/>
                <w:u w:val="single"/>
                <w:lang w:val="en-US" w:eastAsia="zh-CN"/>
              </w:rPr>
              <w:t xml:space="preserve"> </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hint="eastAsia" w:ascii="宋体" w:hAnsi="宋体" w:eastAsia="宋体" w:cs="Times New Roman"/>
                <w:kern w:val="2"/>
                <w:sz w:val="21"/>
                <w:szCs w:val="21"/>
                <w:highlight w:val="yellow"/>
                <w:lang w:val="en-US" w:eastAsia="zh-CN" w:bidi="ar-SA"/>
              </w:rPr>
            </w:pPr>
            <w:r>
              <w:rPr>
                <w:rFonts w:hint="eastAsia" w:ascii="宋体" w:hAnsi="宋体"/>
              </w:rPr>
              <w:t>--存在问题：</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tcPr>
          <w:p>
            <w:pPr>
              <w:rPr>
                <w:rFonts w:hint="eastAsia" w:ascii="宋体" w:hAnsi="宋体"/>
                <w:b/>
                <w:szCs w:val="21"/>
              </w:rPr>
            </w:pPr>
          </w:p>
        </w:tc>
        <w:tc>
          <w:tcPr>
            <w:tcW w:w="0" w:type="auto"/>
          </w:tcPr>
          <w:p>
            <w:pPr>
              <w:rPr>
                <w:rFonts w:hint="eastAsia"/>
              </w:rPr>
            </w:pPr>
          </w:p>
        </w:tc>
        <w:tc>
          <w:tcPr>
            <w:tcW w:w="0" w:type="auto"/>
            <w:vAlign w:val="top"/>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jc w:val="left"/>
              <w:rPr>
                <w:rFonts w:hint="eastAsia" w:ascii="宋体" w:eastAsia="宋体"/>
                <w:lang w:val="en-US" w:eastAsia="zh-CN"/>
              </w:rPr>
            </w:pPr>
            <w:r>
              <w:rPr>
                <w:rFonts w:ascii="宋体"/>
                <w:szCs w:val="21"/>
                <w:u w:val="single"/>
              </w:rPr>
              <w:t xml:space="preserve"> </w:t>
            </w:r>
            <w:r>
              <w:rPr>
                <w:rFonts w:hint="eastAsia" w:ascii="宋体" w:hAnsi="宋体"/>
                <w:szCs w:val="22"/>
                <w:u w:val="single"/>
                <w:lang w:val="en-US" w:eastAsia="zh-CN"/>
              </w:rPr>
              <w:t>机械伤害</w:t>
            </w:r>
            <w:r>
              <w:rPr>
                <w:rFonts w:hint="eastAsia" w:ascii="宋体" w:hAnsi="宋体"/>
                <w:szCs w:val="22"/>
                <w:u w:val="single"/>
                <w:lang w:eastAsia="zh-CN"/>
              </w:rPr>
              <w:t>、</w:t>
            </w:r>
            <w:r>
              <w:rPr>
                <w:rFonts w:hint="eastAsia" w:ascii="宋体" w:hAnsi="宋体"/>
                <w:szCs w:val="22"/>
                <w:u w:val="single"/>
              </w:rPr>
              <w:t>职业病伤害（噪声、油漆</w:t>
            </w:r>
            <w:r>
              <w:rPr>
                <w:rFonts w:hint="eastAsia" w:ascii="宋体" w:hAnsi="宋体"/>
                <w:szCs w:val="22"/>
                <w:u w:val="single"/>
                <w:lang w:val="en-US" w:eastAsia="zh-CN"/>
              </w:rPr>
              <w:t>、电焊烟尘、电焊弧光</w:t>
            </w:r>
            <w:r>
              <w:rPr>
                <w:rFonts w:hint="eastAsia" w:ascii="宋体" w:hAnsi="宋体"/>
                <w:szCs w:val="22"/>
                <w:u w:val="single"/>
              </w:rPr>
              <w:t>）</w:t>
            </w:r>
            <w:r>
              <w:rPr>
                <w:rFonts w:hint="eastAsia" w:ascii="宋体" w:hAnsi="宋体"/>
                <w:szCs w:val="22"/>
                <w:u w:val="single"/>
                <w:lang w:eastAsia="zh-CN"/>
              </w:rPr>
              <w:t>、</w:t>
            </w:r>
            <w:r>
              <w:rPr>
                <w:rFonts w:hint="eastAsia" w:ascii="宋体" w:hAnsi="宋体"/>
                <w:szCs w:val="22"/>
                <w:u w:val="single"/>
              </w:rPr>
              <w:t>引起人员机械伤害</w:t>
            </w:r>
            <w:r>
              <w:rPr>
                <w:rFonts w:hint="eastAsia" w:ascii="宋体" w:hAnsi="宋体"/>
                <w:szCs w:val="22"/>
                <w:u w:val="single"/>
                <w:lang w:eastAsia="zh-CN"/>
              </w:rPr>
              <w:t>、</w:t>
            </w:r>
            <w:r>
              <w:rPr>
                <w:rFonts w:hint="eastAsia" w:ascii="宋体" w:hAnsi="宋体"/>
                <w:szCs w:val="22"/>
                <w:u w:val="single"/>
              </w:rPr>
              <w:t>出现明火引起的火灾</w:t>
            </w:r>
            <w:r>
              <w:rPr>
                <w:rFonts w:hint="eastAsia" w:ascii="宋体" w:hAnsi="宋体"/>
                <w:szCs w:val="22"/>
                <w:u w:val="single"/>
                <w:lang w:val="en-US" w:eastAsia="zh-CN"/>
              </w:rPr>
              <w:t>等</w:t>
            </w:r>
          </w:p>
          <w:p>
            <w:pPr>
              <w:adjustRightInd w:val="0"/>
              <w:spacing w:line="360" w:lineRule="auto"/>
              <w:jc w:val="left"/>
              <w:rPr>
                <w:rFonts w:ascii="宋体"/>
              </w:rPr>
            </w:pP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良好。</w:t>
            </w:r>
            <w:r>
              <w:rPr>
                <w:rFonts w:ascii="宋体" w:hAnsi="宋体"/>
                <w:u w:val="single"/>
              </w:rPr>
              <w:t xml:space="preserve">            </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szCs w:val="21"/>
              </w:rPr>
              <w:t>管理体系的方针、目标/指标/措施方案及实现情况</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rPr>
              <w:t>5.2/6.1/6.2</w:t>
            </w:r>
          </w:p>
        </w:tc>
        <w:tc>
          <w:tcPr>
            <w:tcW w:w="0" w:type="auto"/>
            <w:vAlign w:val="top"/>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bCs/>
                <w:szCs w:val="21"/>
              </w:rPr>
              <w:t>组织内部审核策划和实施情况</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rPr>
              <w:t>9.2</w:t>
            </w:r>
          </w:p>
        </w:tc>
        <w:tc>
          <w:tcPr>
            <w:tcW w:w="0" w:type="auto"/>
            <w:vAlign w:val="top"/>
          </w:tcPr>
          <w:p>
            <w:pPr>
              <w:pStyle w:val="13"/>
              <w:numPr>
                <w:ilvl w:val="0"/>
                <w:numId w:val="3"/>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6</w:t>
            </w:r>
            <w:r>
              <w:rPr>
                <w:rFonts w:hint="eastAsia" w:ascii="宋体" w:hAnsi="宋体"/>
              </w:rPr>
              <w:t>月</w:t>
            </w:r>
            <w:r>
              <w:rPr>
                <w:rFonts w:hint="eastAsia" w:ascii="宋体" w:hAnsi="宋体"/>
                <w:u w:val="single"/>
                <w:lang w:val="en-US" w:eastAsia="zh-CN"/>
              </w:rPr>
              <w:t xml:space="preserve"> 1</w:t>
            </w:r>
            <w:r>
              <w:rPr>
                <w:rFonts w:hint="eastAsia" w:ascii="宋体" w:hAnsi="宋体"/>
              </w:rPr>
              <w:t>日至</w:t>
            </w:r>
            <w:r>
              <w:rPr>
                <w:rFonts w:hint="eastAsia" w:ascii="宋体" w:hAnsi="宋体"/>
                <w:u w:val="single"/>
              </w:rPr>
              <w:t>20</w:t>
            </w:r>
            <w:r>
              <w:rPr>
                <w:rFonts w:hint="eastAsia" w:ascii="宋体" w:hAnsi="宋体"/>
                <w:u w:val="single"/>
                <w:lang w:val="en-US" w:eastAsia="zh-CN"/>
              </w:rPr>
              <w:t>21</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 xml:space="preserve"> 6</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hint="eastAsia" w:ascii="宋体" w:hAnsi="宋体" w:eastAsia="宋体" w:cs="Times New Roman"/>
                <w:kern w:val="2"/>
                <w:sz w:val="21"/>
                <w:szCs w:val="21"/>
                <w:lang w:val="en-US" w:eastAsia="zh-CN" w:bidi="ar-SA"/>
              </w:rPr>
            </w:pPr>
            <w:r>
              <w:rPr>
                <w:rFonts w:hint="eastAsia" w:ascii="宋体" w:hAnsi="宋体"/>
                <w:u w:val="single"/>
              </w:rPr>
              <w:t>　　公司的管理体系符合标准要求，体系运行有效。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0" w:type="auto"/>
            <w:vAlign w:val="top"/>
          </w:tcPr>
          <w:p>
            <w:pPr>
              <w:rPr>
                <w:rFonts w:hint="eastAsia" w:ascii="Times New Roman" w:hAnsi="Times New Roman" w:eastAsia="宋体" w:cs="Times New Roman"/>
                <w:kern w:val="2"/>
                <w:sz w:val="21"/>
                <w:lang w:val="en-US" w:eastAsia="zh-CN" w:bidi="ar-SA"/>
              </w:rPr>
            </w:pPr>
            <w:r>
              <w:rPr>
                <w:rFonts w:hint="eastAsia" w:ascii="宋体" w:hAnsi="宋体"/>
                <w:b/>
                <w:bCs/>
                <w:szCs w:val="21"/>
              </w:rPr>
              <w:t>组织进行管理评审的情况</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rPr>
              <w:t>9.3</w:t>
            </w:r>
          </w:p>
        </w:tc>
        <w:tc>
          <w:tcPr>
            <w:tcW w:w="0" w:type="auto"/>
            <w:vAlign w:val="top"/>
          </w:tcPr>
          <w:p>
            <w:pPr>
              <w:numPr>
                <w:ilvl w:val="0"/>
                <w:numId w:val="4"/>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4"/>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21</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 xml:space="preserve"> 6</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18</w:t>
            </w:r>
            <w:bookmarkStart w:id="1" w:name="_GoBack"/>
            <w:bookmarkEnd w:id="1"/>
            <w:r>
              <w:rPr>
                <w:rFonts w:hint="eastAsia" w:ascii="宋体" w:hAnsi="宋体"/>
                <w:u w:val="single"/>
                <w:lang w:val="en-US" w:eastAsia="zh-CN"/>
              </w:rPr>
              <w:t xml:space="preserve">  </w:t>
            </w:r>
            <w:r>
              <w:rPr>
                <w:rFonts w:hint="eastAsia" w:ascii="宋体" w:hAnsi="宋体"/>
              </w:rPr>
              <w:t>日实施，由最高管理者：</w:t>
            </w:r>
            <w:r>
              <w:rPr>
                <w:rFonts w:hint="eastAsia" w:ascii="宋体" w:hAnsi="宋体"/>
                <w:lang w:val="en-US" w:eastAsia="zh-CN"/>
              </w:rPr>
              <w:t xml:space="preserve"> </w:t>
            </w:r>
            <w:r>
              <w:rPr>
                <w:rFonts w:hint="eastAsia" w:ascii="宋体" w:hAnsi="宋体"/>
              </w:rPr>
              <w:t>主持，实施方式：</w:t>
            </w:r>
            <w:r>
              <w:rPr>
                <w:rFonts w:hint="eastAsia" w:ascii="宋体" w:hAnsi="宋体"/>
                <w:u w:val="single"/>
              </w:rPr>
              <w:t>　</w:t>
            </w:r>
            <w:r>
              <w:rPr>
                <w:rFonts w:hint="eastAsia" w:ascii="宋体" w:hAnsi="宋体"/>
                <w:u w:val="single"/>
                <w:lang w:val="en-US" w:eastAsia="zh-CN"/>
              </w:rPr>
              <w:t>陈川主持</w:t>
            </w:r>
            <w:r>
              <w:rPr>
                <w:rFonts w:hint="eastAsia" w:ascii="宋体" w:hAnsi="宋体" w:cs="Times New Roman"/>
                <w:u w:val="single"/>
              </w:rPr>
              <w:t>会</w:t>
            </w:r>
            <w:r>
              <w:rPr>
                <w:rFonts w:hint="eastAsia" w:ascii="宋体" w:hAnsi="宋体"/>
                <w:u w:val="single"/>
              </w:rPr>
              <w:t>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3"/>
              <w:spacing w:after="0" w:line="360" w:lineRule="auto"/>
              <w:ind w:left="0" w:leftChars="0"/>
              <w:rPr>
                <w:rFonts w:hint="eastAsia" w:ascii="宋体" w:hAnsi="宋体" w:eastAsia="宋体" w:cs="Times New Roman"/>
                <w:kern w:val="2"/>
                <w:sz w:val="21"/>
                <w:szCs w:val="21"/>
                <w:lang w:val="en-US" w:eastAsia="zh-CN" w:bidi="ar-SA"/>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环境</w:t>
            </w:r>
            <w:r>
              <w:rPr>
                <w:rFonts w:ascii="宋体" w:hAnsi="宋体"/>
                <w:u w:val="single"/>
              </w:rPr>
              <w:t>职业健康</w:t>
            </w:r>
            <w:r>
              <w:rPr>
                <w:rFonts w:hint="eastAsia" w:ascii="宋体" w:hAnsi="宋体"/>
                <w:u w:val="single"/>
              </w:rPr>
              <w:t>安全管理体系运行是有效的，资源提供是充分的，方针目标是适宜的。</w:t>
            </w:r>
          </w:p>
        </w:tc>
        <w:tc>
          <w:tcPr>
            <w:tcW w:w="0" w:type="auto"/>
          </w:tcPr>
          <w:p/>
        </w:tc>
      </w:tr>
    </w:tbl>
    <w:p>
      <w:r>
        <w:ptab w:relativeTo="margin" w:alignment="center" w:leader="none"/>
      </w:r>
    </w:p>
    <w:p/>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83B91"/>
    <w:multiLevelType w:val="singleLevel"/>
    <w:tmpl w:val="F9783B91"/>
    <w:lvl w:ilvl="0" w:tentative="0">
      <w:start w:val="2"/>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rPr>
        <w:rFonts w:cs="Times New Roman"/>
      </w:rPr>
    </w:lvl>
  </w:abstractNum>
  <w:abstractNum w:abstractNumId="2">
    <w:nsid w:val="3FB9F659"/>
    <w:multiLevelType w:val="singleLevel"/>
    <w:tmpl w:val="3FB9F659"/>
    <w:lvl w:ilvl="0" w:tentative="0">
      <w:start w:val="5"/>
      <w:numFmt w:val="decimal"/>
      <w:suff w:val="nothing"/>
      <w:lvlText w:val="%1、"/>
      <w:lvlJc w:val="left"/>
    </w:lvl>
  </w:abstractNum>
  <w:abstractNum w:abstractNumId="3">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D936C7"/>
    <w:rsid w:val="5DD57D95"/>
    <w:rsid w:val="614F0E4D"/>
    <w:rsid w:val="65A06D31"/>
    <w:rsid w:val="6603687A"/>
    <w:rsid w:val="7B584C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11</TotalTime>
  <ScaleCrop>false</ScaleCrop>
  <LinksUpToDate>false</LinksUpToDate>
  <CharactersWithSpaces>100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2021-08-13T05:54:09Z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3D7389B86C304D77BA21ADE7038EB30F</vt:lpwstr>
  </property>
</Properties>
</file>