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安徽国登管业科技有限公司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Q：GB/T19001-2016/ISO9001:2015,O：GB/T45001-2020 / ISO45001：2018,E：GB/T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0816-2021-QEO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2020-N1OHSMS-1258213</w:t>
            </w:r>
          </w:p>
          <w:p w:rsidR="009F508A">
            <w:pPr>
              <w:snapToGrid w:val="0"/>
              <w:spacing w:line="320" w:lineRule="exact"/>
              <w:ind w:left="1309"/>
              <w:rPr>
                <w:sz w:val="22"/>
                <w:szCs w:val="22"/>
                <w:highlight w:val="yellow"/>
              </w:rPr>
            </w:pPr>
            <w:r>
              <w:rPr>
                <w:sz w:val="22"/>
                <w:szCs w:val="22"/>
                <w:highlight w:val="yellow"/>
              </w:rPr>
              <w:t>2020-N1EMS-1258213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2019-N1QMS-2210533</w:t>
            </w:r>
          </w:p>
          <w:p w:rsidR="009F508A">
            <w:pPr>
              <w:snapToGrid w:val="0"/>
              <w:spacing w:line="320" w:lineRule="exact"/>
              <w:ind w:left="1309"/>
              <w:rPr>
                <w:sz w:val="22"/>
                <w:szCs w:val="22"/>
                <w:highlight w:val="yellow"/>
              </w:rPr>
            </w:pPr>
            <w:r>
              <w:rPr>
                <w:sz w:val="22"/>
                <w:szCs w:val="22"/>
                <w:highlight w:val="yellow"/>
              </w:rPr>
              <w:t>2021-N0OHSMS-1210533</w:t>
            </w:r>
          </w:p>
          <w:p w:rsidR="009F508A">
            <w:pPr>
              <w:snapToGrid w:val="0"/>
              <w:spacing w:line="320" w:lineRule="exact"/>
              <w:ind w:left="1309"/>
              <w:rPr>
                <w:sz w:val="22"/>
                <w:szCs w:val="22"/>
                <w:highlight w:val="yellow"/>
              </w:rPr>
            </w:pPr>
            <w:r>
              <w:rPr>
                <w:sz w:val="22"/>
                <w:szCs w:val="22"/>
                <w:highlight w:val="yellow"/>
              </w:rPr>
              <w:t>2021-N1EMS-1210533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