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0791-2021-QEO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成都尚诚嘉得广告有限公司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成都尚诚嘉得广告有限公司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成都市金牛区二环路北一段72号6楼14号</w:t>
            </w:r>
            <w:bookmarkEnd w:id="6"/>
          </w:p>
        </w:tc>
        <w:tc>
          <w:tcPr>
            <w:tcW w:w="1242" w:type="dxa"/>
            <w:vMerge w:val="restart"/>
            <w:vAlign w:val="center"/>
          </w:tcPr>
          <w:p>
            <w:r>
              <w:rPr>
                <w:rFonts w:hint="eastAsia"/>
              </w:rPr>
              <w:t>邮编</w:t>
            </w:r>
          </w:p>
        </w:tc>
        <w:tc>
          <w:tcPr>
            <w:tcW w:w="1771" w:type="dxa"/>
          </w:tcPr>
          <w:p>
            <w:bookmarkStart w:id="7" w:name="注册邮编"/>
            <w:r>
              <w:t>610036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成都市双流区大件路白家段9号</w:t>
            </w:r>
            <w:bookmarkEnd w:id="8"/>
          </w:p>
        </w:tc>
        <w:tc>
          <w:tcPr>
            <w:tcW w:w="1242" w:type="dxa"/>
            <w:vMerge w:val="continue"/>
            <w:vAlign w:val="center"/>
          </w:tcPr>
          <w:p/>
        </w:tc>
        <w:tc>
          <w:tcPr>
            <w:tcW w:w="1771" w:type="dxa"/>
          </w:tcPr>
          <w:p>
            <w:bookmarkStart w:id="9" w:name="办公邮编"/>
            <w:r>
              <w:t>610200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刘全高</w:t>
            </w:r>
            <w:bookmarkEnd w:id="10"/>
          </w:p>
        </w:tc>
        <w:tc>
          <w:tcPr>
            <w:tcW w:w="1313" w:type="dxa"/>
            <w:vAlign w:val="center"/>
          </w:tcPr>
          <w:p>
            <w:r>
              <w:rPr>
                <w:rFonts w:hint="eastAsia"/>
              </w:rPr>
              <w:t>电话</w:t>
            </w:r>
          </w:p>
        </w:tc>
        <w:tc>
          <w:tcPr>
            <w:tcW w:w="2180" w:type="dxa"/>
            <w:vAlign w:val="center"/>
          </w:tcPr>
          <w:p>
            <w:bookmarkStart w:id="11" w:name="联系人电话"/>
            <w:r>
              <w:t>15928814250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宋琼</w:t>
            </w:r>
            <w:bookmarkEnd w:id="13"/>
          </w:p>
        </w:tc>
        <w:tc>
          <w:tcPr>
            <w:tcW w:w="1313" w:type="dxa"/>
            <w:vAlign w:val="center"/>
          </w:tcPr>
          <w:p>
            <w:r>
              <w:rPr>
                <w:rFonts w:hint="eastAsia"/>
              </w:rPr>
              <w:t>管理者代表</w:t>
            </w:r>
          </w:p>
        </w:tc>
        <w:tc>
          <w:tcPr>
            <w:tcW w:w="2180" w:type="dxa"/>
          </w:tcPr>
          <w:p>
            <w:bookmarkStart w:id="14" w:name="管理者代表"/>
            <w:r>
              <w:t>刘全高</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信息收集--概念设计--签单--设计--客户验收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2021年08月17日 上午至2021年08月17日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Q：广告设计</w:t>
            </w:r>
          </w:p>
          <w:p>
            <w:pPr>
              <w:rPr>
                <w:rFonts w:hint="eastAsia"/>
              </w:rPr>
            </w:pPr>
            <w:r>
              <w:rPr>
                <w:rFonts w:hint="eastAsia"/>
              </w:rPr>
              <w:t>E：广告设计所涉及场所的相关环境管理活动</w:t>
            </w:r>
          </w:p>
          <w:p>
            <w:pPr>
              <w:rPr>
                <w:rFonts w:hint="eastAsia"/>
              </w:rPr>
            </w:pPr>
            <w:r>
              <w:rPr>
                <w:rFonts w:hint="eastAsia"/>
              </w:rPr>
              <w:t>O：广告设计所涉及场所的相关职业健康安全管理活动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Q：35.05.01</w:t>
            </w:r>
          </w:p>
          <w:p>
            <w:r>
              <w:t>E：35.05.01</w:t>
            </w:r>
          </w:p>
          <w:p>
            <w:r>
              <w:t>O：35.05.01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成都尚诚嘉得广告有限公司</w:t>
            </w:r>
            <w:r>
              <w:rPr>
                <w:rFonts w:hint="eastAsia"/>
                <w:sz w:val="21"/>
                <w:szCs w:val="21"/>
                <w:lang w:eastAsia="zh-CN"/>
              </w:rPr>
              <w:t>、</w:t>
            </w:r>
            <w:r>
              <w:rPr>
                <w:sz w:val="21"/>
                <w:szCs w:val="21"/>
              </w:rPr>
              <w:t>成都市金牛区二环路北一段72号6楼14号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成都市双流区大件路白家段9号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2803" w:type="dxa"/>
            <w:vAlign w:val="center"/>
          </w:tcPr>
          <w:p>
            <w:pPr>
              <w:pStyle w:val="21"/>
              <w:rPr>
                <w:rFonts w:hint="eastAsia" w:ascii="Times New Roman" w:hAnsi="Times New Roman" w:eastAsia="黑体" w:cs="Arial"/>
                <w:kern w:val="2"/>
                <w:sz w:val="21"/>
                <w:szCs w:val="21"/>
                <w:lang w:val="en-US" w:eastAsia="ja-JP" w:bidi="ar-SA"/>
              </w:rPr>
            </w:pPr>
            <w:r>
              <w:rPr>
                <w:rFonts w:hint="eastAsia" w:eastAsia="黑体" w:cs="Arial"/>
                <w:sz w:val="21"/>
                <w:szCs w:val="21"/>
                <w:lang w:val="en-US" w:eastAsia="zh-CN"/>
              </w:rPr>
              <w:t>广告设计</w:t>
            </w:r>
          </w:p>
        </w:tc>
        <w:tc>
          <w:tcPr>
            <w:tcW w:w="669" w:type="dxa"/>
            <w:vAlign w:val="center"/>
          </w:tcPr>
          <w:p>
            <w:pPr>
              <w:spacing w:before="40" w:after="40"/>
              <w:rPr>
                <w:rFonts w:hint="eastAsia" w:ascii="Times New Roman" w:hAnsi="Times New Roman" w:eastAsia="宋体" w:cs="Times New Roman"/>
                <w:kern w:val="2"/>
                <w:sz w:val="21"/>
                <w:szCs w:val="21"/>
                <w:lang w:val="en-US" w:eastAsia="ja-JP" w:bidi="ar-SA"/>
              </w:rPr>
            </w:pPr>
            <w:r>
              <w:rPr>
                <w:rFonts w:hint="eastAsia" w:eastAsia="黑体"/>
                <w:szCs w:val="21"/>
                <w:lang w:eastAsia="ja-JP"/>
              </w:rPr>
              <w:t>GB/T19001-2016</w:t>
            </w:r>
            <w:r>
              <w:rPr>
                <w:rFonts w:hint="eastAsia" w:eastAsia="黑体"/>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 45001-2020</w:t>
            </w:r>
          </w:p>
        </w:tc>
        <w:tc>
          <w:tcPr>
            <w:tcW w:w="668" w:type="dxa"/>
            <w:shd w:val="clear" w:color="auto" w:fill="FFFFFF"/>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Q:35.05.01</w:t>
            </w:r>
          </w:p>
          <w:p>
            <w:r>
              <w:t>E:35.05.01</w:t>
            </w:r>
          </w:p>
          <w:p>
            <w:r>
              <w:t>O:35.05.01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2021-N0OHSMS-1262293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2019-N1EMS-1247783</w:t>
            </w:r>
          </w:p>
          <w:p>
            <w:r>
              <w:t>2021-N0OHSMS-1247783</w:t>
            </w:r>
          </w:p>
        </w:tc>
        <w:tc>
          <w:tcPr>
            <w:tcW w:w="2179" w:type="dxa"/>
            <w:vAlign w:val="center"/>
          </w:tcPr>
          <w:p>
            <w:r>
              <w:t>E:35.05.01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eastAsia="zh-CN"/>
              </w:rPr>
              <w:t>☑</w:t>
            </w: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广告设计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rPr>
              <w:t>广告设计所涉及场所的相关环境管理活动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rPr>
              <w:t>广告设计所涉及场所的相关职业健康安全管理活动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133985</wp:posOffset>
                  </wp:positionH>
                  <wp:positionV relativeFrom="paragraph">
                    <wp:posOffset>56515</wp:posOffset>
                  </wp:positionV>
                  <wp:extent cx="323850" cy="335280"/>
                  <wp:effectExtent l="0" t="0" r="0" b="7620"/>
                  <wp:wrapNone/>
                  <wp:docPr id="1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2021.8.17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color w:val="000000"/>
                <w:szCs w:val="18"/>
                <w:u w:val="single"/>
              </w:rPr>
              <w:t>与时俱进、争创一流、以人为本、诚信服务</w:t>
            </w:r>
            <w:r>
              <w:rPr>
                <w:rFonts w:hint="eastAsia"/>
                <w:color w:val="000000"/>
                <w:szCs w:val="18"/>
                <w:u w:val="single"/>
                <w:lang w:eastAsia="zh-CN"/>
              </w:rPr>
              <w:t>。</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rPr>
                <w:rFonts w:hint="eastAsia" w:eastAsia="宋体"/>
                <w:lang w:eastAsia="zh-CN"/>
              </w:rPr>
            </w:pPr>
            <w:r>
              <w:rPr>
                <w:rFonts w:hint="eastAsia"/>
                <w:lang w:eastAsia="zh-CN"/>
              </w:rPr>
              <w:t>行政人事部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广告设计合格率≥95%</w:t>
                  </w:r>
                </w:p>
              </w:tc>
              <w:tc>
                <w:tcPr>
                  <w:tcW w:w="3136" w:type="dxa"/>
                  <w:shd w:val="clear" w:color="auto" w:fill="auto"/>
                  <w:vAlign w:val="top"/>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定期对广告设计</w:t>
                  </w:r>
                  <w:r>
                    <w:rPr>
                      <w:rFonts w:hint="eastAsia" w:ascii="宋体" w:hAnsi="宋体" w:eastAsia="宋体" w:cs="Times New Roman"/>
                      <w:lang w:eastAsia="zh-CN"/>
                    </w:rPr>
                    <w:t>合格情况</w:t>
                  </w:r>
                  <w:r>
                    <w:rPr>
                      <w:rFonts w:hint="eastAsia" w:ascii="宋体" w:hAnsi="宋体" w:eastAsia="宋体" w:cs="Times New Roman"/>
                    </w:rPr>
                    <w:t>考评</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设计部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该期间，广告设计合格率为100%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顾客满意度≥95分</w:t>
                  </w:r>
                </w:p>
              </w:tc>
              <w:tc>
                <w:tcPr>
                  <w:tcW w:w="3136"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收回的满意度调查表/发出的满意度调查表总数</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行政人事部</w:t>
                  </w:r>
                </w:p>
              </w:tc>
              <w:tc>
                <w:tcPr>
                  <w:tcW w:w="1774" w:type="dxa"/>
                  <w:shd w:val="clear" w:color="auto" w:fill="auto"/>
                  <w:vAlign w:val="top"/>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GB" w:eastAsia="zh-CN"/>
                    </w:rPr>
                    <w:t>通过调查，客户满意度达96分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eastAsia="zh-CN"/>
              </w:rPr>
              <w:t>电脑、打印机、扫描机</w:t>
            </w:r>
            <w:r>
              <w:rPr>
                <w:rFonts w:hint="eastAsia"/>
                <w:highlight w:val="none"/>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组织建立、实施和保持了适当的设计和开发过程，以确保后续的产品和服务的提供。（适用时）</w:t>
            </w:r>
          </w:p>
          <w:p>
            <w:pPr>
              <w:shd w:val="clear" w:color="auto" w:fill="C7DAF1" w:themeFill="text2" w:themeFillTint="32"/>
              <w:rPr>
                <w:highlight w:val="none"/>
              </w:rPr>
            </w:pPr>
            <w:r>
              <w:rPr>
                <w:rFonts w:hint="eastAsia"/>
                <w:highlight w:val="none"/>
              </w:rPr>
              <w:t>审核期间内设计和开发新产品/项目名称：</w:t>
            </w:r>
            <w:r>
              <w:rPr>
                <w:rFonts w:hint="eastAsia"/>
                <w:highlight w:val="none"/>
                <w:u w:val="single"/>
                <w:lang w:eastAsia="zh-CN"/>
              </w:rPr>
              <w:t>征兵办广告宣传设计项目</w:t>
            </w:r>
            <w:r>
              <w:rPr>
                <w:rFonts w:hint="eastAsia"/>
                <w:highlight w:val="none"/>
                <w:u w:val="single"/>
              </w:rPr>
              <w:t xml:space="preserve">                       （</w:t>
            </w:r>
            <w:r>
              <w:rPr>
                <w:rFonts w:hint="eastAsia"/>
                <w:highlight w:val="non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highlight w:val="none"/>
                    </w:rPr>
                  </w:pPr>
                  <w:r>
                    <w:rPr>
                      <w:rFonts w:hint="eastAsia"/>
                      <w:highlight w:val="none"/>
                    </w:rPr>
                    <w:t>产品/服务名称</w:t>
                  </w:r>
                </w:p>
              </w:tc>
              <w:tc>
                <w:tcPr>
                  <w:tcW w:w="3665"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ind w:firstLine="509" w:firstLineChars="0"/>
                    <w:jc w:val="left"/>
                    <w:rPr>
                      <w:rFonts w:hint="eastAsia" w:eastAsia="宋体"/>
                      <w:highlight w:val="none"/>
                      <w:lang w:eastAsia="zh-CN"/>
                    </w:rPr>
                  </w:pPr>
                  <w:r>
                    <w:rPr>
                      <w:rFonts w:hint="eastAsia"/>
                      <w:highlight w:val="none"/>
                      <w:lang w:eastAsia="zh-CN"/>
                    </w:rPr>
                    <w:t>广告设计</w:t>
                  </w:r>
                </w:p>
              </w:tc>
              <w:tc>
                <w:tcPr>
                  <w:tcW w:w="3665" w:type="dxa"/>
                </w:tcPr>
                <w:p>
                  <w:pPr>
                    <w:shd w:val="clear" w:color="auto" w:fill="C7DAF1" w:themeFill="text2" w:themeFillTint="32"/>
                    <w:jc w:val="left"/>
                    <w:rPr>
                      <w:rFonts w:hint="eastAsia" w:eastAsia="宋体"/>
                      <w:highlight w:val="none"/>
                      <w:lang w:eastAsia="zh-CN"/>
                    </w:rPr>
                  </w:pPr>
                  <w:r>
                    <w:rPr>
                      <w:rFonts w:hint="eastAsia"/>
                      <w:highlight w:val="none"/>
                      <w:lang w:eastAsia="zh-CN"/>
                    </w:rPr>
                    <w:t>设计过程</w:t>
                  </w:r>
                </w:p>
              </w:tc>
              <w:tc>
                <w:tcPr>
                  <w:tcW w:w="3265" w:type="dxa"/>
                </w:tcPr>
                <w:p>
                  <w:pPr>
                    <w:shd w:val="clear" w:color="auto" w:fill="C7DAF1" w:themeFill="text2" w:themeFillTint="32"/>
                    <w:jc w:val="left"/>
                    <w:rPr>
                      <w:rFonts w:hint="eastAsia" w:eastAsia="宋体"/>
                      <w:highlight w:val="none"/>
                      <w:lang w:eastAsia="zh-CN"/>
                    </w:rPr>
                  </w:pPr>
                  <w:r>
                    <w:rPr>
                      <w:rFonts w:hint="eastAsia"/>
                      <w:highlight w:val="none"/>
                      <w:lang w:eastAsia="zh-CN"/>
                    </w:rPr>
                    <w:t>符合性、及时性、客户要求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eastAsia="zh-CN"/>
              </w:rPr>
              <w:t>设计过程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5</w:t>
            </w:r>
            <w:r>
              <w:rPr>
                <w:rFonts w:hint="eastAsia"/>
              </w:rPr>
              <w:t>月</w:t>
            </w:r>
            <w:r>
              <w:rPr>
                <w:rFonts w:hint="eastAsia"/>
                <w:u w:val="single"/>
                <w:lang w:val="en-US" w:eastAsia="zh-CN"/>
              </w:rPr>
              <w:t>20-21</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rPr>
          <w:highlight w:val="yellow"/>
        </w:rPr>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□知识 □绩效 □工艺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 xml:space="preserve">□以身作则 </w:t>
            </w:r>
            <w:r>
              <w:rPr>
                <w:rFonts w:hint="eastAsia"/>
                <w:lang w:eastAsia="zh-CN"/>
              </w:rPr>
              <w:t>☑</w:t>
            </w:r>
            <w:r>
              <w:rPr>
                <w:rFonts w:hint="eastAsia"/>
              </w:rPr>
              <w:t xml:space="preserve">建立机制 □法规宣传 </w:t>
            </w:r>
            <w:r>
              <w:rPr>
                <w:rFonts w:hint="eastAsia"/>
                <w:lang w:eastAsia="zh-CN"/>
              </w:rPr>
              <w:t>☑</w:t>
            </w:r>
            <w:r>
              <w:rPr>
                <w:rFonts w:hint="eastAsia"/>
              </w:rPr>
              <w:t>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color w:val="000000"/>
                <w:szCs w:val="18"/>
                <w:u w:val="single"/>
                <w:lang w:eastAsia="zh-CN"/>
              </w:rPr>
              <w:t>绿色环保，遵纪守法，污染预防，持续改进</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竞争风险</w:t>
                  </w:r>
                </w:p>
              </w:tc>
              <w:tc>
                <w:tcPr>
                  <w:tcW w:w="3965"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及时关注公司产品市场的情况，收集信息及时调整，保持公司产品的竞争力</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人力资源风险</w:t>
                  </w:r>
                </w:p>
              </w:tc>
              <w:tc>
                <w:tcPr>
                  <w:tcW w:w="3965"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各部门应及时关注员工的心态变化，注意工作方式，创造良好的工作环境，提高员工的归属感</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固体废弃物分类收集处理率100%</w:t>
                  </w:r>
                </w:p>
              </w:tc>
              <w:tc>
                <w:tcPr>
                  <w:tcW w:w="3136" w:type="dxa"/>
                  <w:shd w:val="clear" w:color="auto" w:fill="auto"/>
                  <w:vAlign w:val="center"/>
                </w:tcPr>
                <w:p>
                  <w:pPr>
                    <w:shd w:val="clear" w:color="auto" w:fill="EBF1DE" w:themeFill="accent3" w:themeFillTint="32"/>
                    <w:rPr>
                      <w:lang w:val="en-GB"/>
                    </w:rPr>
                  </w:pPr>
                  <w:r>
                    <w:rPr>
                      <w:rFonts w:hint="eastAsia"/>
                      <w:lang w:val="en-GB"/>
                    </w:rPr>
                    <w:t>体废弃物分类处理率</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行政人事部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lang w:val="en-GB"/>
                    </w:rPr>
                    <w:t>根据统计结果，固体废弃物分类处理率为100%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eastAsia="zh-CN"/>
              </w:rPr>
              <w:t>电脑、打印机、扫描机等</w:t>
            </w:r>
            <w:r>
              <w:rPr>
                <w:rFonts w:hint="eastAsia"/>
                <w:highlight w:val="none"/>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组织建立、实施和保持了适当的设计和开发过程，以确保后续的产品和服务的提供中满足环境相关的法律法规。（适用时）</w:t>
            </w:r>
          </w:p>
          <w:p>
            <w:pPr>
              <w:shd w:val="clear" w:color="auto" w:fill="EBF1DE" w:themeFill="accent3" w:themeFillTint="32"/>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u w:val="single"/>
                <w:lang w:eastAsia="zh-CN"/>
              </w:rPr>
              <w:t>征兵办广告宣传设计项目</w:t>
            </w:r>
            <w:r>
              <w:rPr>
                <w:rFonts w:hint="eastAsia"/>
                <w:highlight w:val="none"/>
                <w:u w:val="single"/>
              </w:rPr>
              <w:t xml:space="preserve">  （</w:t>
            </w:r>
            <w:r>
              <w:rPr>
                <w:rFonts w:hint="eastAsia"/>
                <w:highlight w:val="none"/>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办公固废交于物业统一处理</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定期举行安全培训及消防演练</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消防</w:t>
            </w:r>
            <w:r>
              <w:rPr>
                <w:rFonts w:hint="eastAsia"/>
                <w:u w:val="single"/>
                <w:lang w:eastAsia="zh-CN"/>
              </w:rPr>
              <w:t>应急</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 xml:space="preserve">□以身作则 </w:t>
            </w:r>
            <w:r>
              <w:rPr>
                <w:rFonts w:hint="eastAsia"/>
                <w:lang w:eastAsia="zh-CN"/>
              </w:rPr>
              <w:t>☑</w:t>
            </w:r>
            <w:r>
              <w:rPr>
                <w:rFonts w:hint="eastAsia"/>
              </w:rPr>
              <w:t xml:space="preserve">建立机制 □法规宣传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u w:val="single"/>
              </w:rPr>
              <w:t xml:space="preserve">    </w:t>
            </w:r>
            <w:r>
              <w:rPr>
                <w:rFonts w:hint="eastAsia"/>
                <w:color w:val="000000"/>
                <w:szCs w:val="18"/>
                <w:u w:val="single"/>
                <w:lang w:eastAsia="zh-CN"/>
              </w:rPr>
              <w:t>保障健康、确保安全、遵守法规、持续改进</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设计部</w:t>
            </w:r>
          </w:p>
          <w:p>
            <w:pPr>
              <w:rPr>
                <w:rFonts w:hint="eastAsia" w:eastAsia="宋体"/>
                <w:lang w:eastAsia="zh-CN"/>
              </w:rPr>
            </w:pPr>
            <w:r>
              <w:rPr>
                <w:rFonts w:hint="eastAsia"/>
              </w:rPr>
              <w:t>安全的主管部门是——</w:t>
            </w:r>
            <w:r>
              <w:rPr>
                <w:rFonts w:hint="eastAsia"/>
                <w:lang w:eastAsia="zh-CN"/>
              </w:rPr>
              <w:t>设计部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竞争风险</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及时关注公司产品市场的情况，收集信息及时调整，保持公司产品的竞争力</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人力资源风险</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各部门应及时关注员工的心态变化，注意工作方式，创造良好的工作环境，提高员工的归属感</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火灾触电事故发生次数为0</w:t>
                  </w:r>
                </w:p>
              </w:tc>
              <w:tc>
                <w:tcPr>
                  <w:tcW w:w="3136" w:type="dxa"/>
                  <w:shd w:val="clear" w:color="auto" w:fill="auto"/>
                  <w:vAlign w:val="center"/>
                </w:tcPr>
                <w:p>
                  <w:pPr>
                    <w:rPr>
                      <w:rFonts w:hint="eastAsia" w:eastAsia="宋体"/>
                      <w:lang w:val="en-GB" w:eastAsia="zh-CN"/>
                    </w:rPr>
                  </w:pPr>
                  <w:r>
                    <w:rPr>
                      <w:rFonts w:hint="eastAsia"/>
                      <w:lang w:val="en-GB" w:eastAsia="zh-CN"/>
                    </w:rPr>
                    <w:t>应急预案编制、安全教育</w:t>
                  </w:r>
                </w:p>
              </w:tc>
              <w:tc>
                <w:tcPr>
                  <w:tcW w:w="1350" w:type="dxa"/>
                  <w:shd w:val="clear" w:color="auto" w:fill="auto"/>
                  <w:vAlign w:val="center"/>
                </w:tcPr>
                <w:p>
                  <w:pPr>
                    <w:rPr>
                      <w:rFonts w:hint="eastAsia" w:eastAsia="宋体"/>
                      <w:lang w:val="en-GB" w:eastAsia="zh-CN"/>
                    </w:rPr>
                  </w:pPr>
                  <w:r>
                    <w:rPr>
                      <w:rFonts w:hint="eastAsia"/>
                      <w:lang w:val="en-GB" w:eastAsia="zh-CN"/>
                    </w:rPr>
                    <w:t>设计部</w:t>
                  </w:r>
                </w:p>
              </w:tc>
              <w:tc>
                <w:tcPr>
                  <w:tcW w:w="1774" w:type="dxa"/>
                  <w:shd w:val="clear" w:color="auto" w:fill="auto"/>
                  <w:vAlign w:val="center"/>
                </w:tcPr>
                <w:p>
                  <w:pPr>
                    <w:jc w:val="center"/>
                    <w:rPr>
                      <w:rFonts w:ascii="宋体" w:hAnsi="宋体"/>
                      <w:lang w:val="en-GB"/>
                    </w:rPr>
                  </w:pPr>
                  <w:r>
                    <w:rPr>
                      <w:rFonts w:hint="eastAsia" w:ascii="宋体" w:hAnsi="宋体"/>
                      <w:lang w:val="en-GB"/>
                    </w:rPr>
                    <w:t>该期间未发生火灾事故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rPr>
                <w:u w:val="single"/>
              </w:rPr>
            </w:pPr>
            <w:r>
              <w:rPr>
                <w:rFonts w:hint="eastAsia"/>
              </w:rPr>
              <w:t>主要生产设备有：</w:t>
            </w:r>
            <w:r>
              <w:rPr>
                <w:rFonts w:hint="eastAsia"/>
                <w:u w:val="single"/>
              </w:rPr>
              <w:t xml:space="preserve">  </w:t>
            </w:r>
            <w:r>
              <w:rPr>
                <w:rFonts w:hint="eastAsia"/>
                <w:u w:val="single"/>
                <w:lang w:eastAsia="zh-CN"/>
              </w:rPr>
              <w:t>电脑、打印机、扫描机等</w:t>
            </w:r>
            <w:r>
              <w:rPr>
                <w:rFonts w:hint="eastAsia"/>
                <w:u w:val="single"/>
              </w:rPr>
              <w:t xml:space="preserve"> （列举2~4种）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 xml:space="preserve">   征兵办广告宣传设计项目 （</w:t>
            </w:r>
            <w:r>
              <w:rPr>
                <w:rFonts w:hint="eastAsia"/>
                <w:highlight w:val="non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w:t>
            </w:r>
            <w:r>
              <w:rPr>
                <w:rFonts w:hint="eastAsia"/>
                <w:u w:val="single"/>
                <w:lang w:eastAsia="zh-CN"/>
              </w:rPr>
              <w:t>消防应急</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bookmarkStart w:id="34" w:name="_GoBack"/>
            <w:bookmarkEnd w:id="34"/>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6C4FA7"/>
    <w:rsid w:val="01FA35C1"/>
    <w:rsid w:val="02547C25"/>
    <w:rsid w:val="025B112A"/>
    <w:rsid w:val="055A142D"/>
    <w:rsid w:val="05CF6271"/>
    <w:rsid w:val="07403EA7"/>
    <w:rsid w:val="07803566"/>
    <w:rsid w:val="082877CA"/>
    <w:rsid w:val="08D56D20"/>
    <w:rsid w:val="0AB77DE1"/>
    <w:rsid w:val="0CE275B5"/>
    <w:rsid w:val="0D6F4E79"/>
    <w:rsid w:val="0EA424F3"/>
    <w:rsid w:val="0F13273D"/>
    <w:rsid w:val="0F894942"/>
    <w:rsid w:val="11B70B19"/>
    <w:rsid w:val="126774BB"/>
    <w:rsid w:val="12C676BE"/>
    <w:rsid w:val="1500383F"/>
    <w:rsid w:val="15CD064F"/>
    <w:rsid w:val="181D1BF3"/>
    <w:rsid w:val="184009EF"/>
    <w:rsid w:val="1B6C1385"/>
    <w:rsid w:val="1DB05C08"/>
    <w:rsid w:val="1E313DD3"/>
    <w:rsid w:val="1FE71F6E"/>
    <w:rsid w:val="20703B0D"/>
    <w:rsid w:val="21310228"/>
    <w:rsid w:val="21A56615"/>
    <w:rsid w:val="228F1EAD"/>
    <w:rsid w:val="25794CEB"/>
    <w:rsid w:val="26B449CF"/>
    <w:rsid w:val="27D81B88"/>
    <w:rsid w:val="2D3E3D73"/>
    <w:rsid w:val="2E2E381E"/>
    <w:rsid w:val="37D76D24"/>
    <w:rsid w:val="37E60996"/>
    <w:rsid w:val="38AD0E45"/>
    <w:rsid w:val="3B8205BC"/>
    <w:rsid w:val="3B8F3505"/>
    <w:rsid w:val="3B907636"/>
    <w:rsid w:val="3E261071"/>
    <w:rsid w:val="3E350013"/>
    <w:rsid w:val="3F9D36EA"/>
    <w:rsid w:val="41A74674"/>
    <w:rsid w:val="426D409C"/>
    <w:rsid w:val="42FD01B9"/>
    <w:rsid w:val="437E3933"/>
    <w:rsid w:val="46304889"/>
    <w:rsid w:val="48D85451"/>
    <w:rsid w:val="493D6B5B"/>
    <w:rsid w:val="4B7E0716"/>
    <w:rsid w:val="4DB13F1E"/>
    <w:rsid w:val="4EED039B"/>
    <w:rsid w:val="4F7640B9"/>
    <w:rsid w:val="4FDC7580"/>
    <w:rsid w:val="50CA7768"/>
    <w:rsid w:val="5246779B"/>
    <w:rsid w:val="55355919"/>
    <w:rsid w:val="56162C34"/>
    <w:rsid w:val="576E01F5"/>
    <w:rsid w:val="582310D1"/>
    <w:rsid w:val="586B7CF3"/>
    <w:rsid w:val="58DE40A3"/>
    <w:rsid w:val="5BFD496A"/>
    <w:rsid w:val="5C802FA1"/>
    <w:rsid w:val="5D3B2B86"/>
    <w:rsid w:val="5DB828F7"/>
    <w:rsid w:val="5E2C13A4"/>
    <w:rsid w:val="5E412D3F"/>
    <w:rsid w:val="60E540BB"/>
    <w:rsid w:val="60F51FF5"/>
    <w:rsid w:val="65B00D65"/>
    <w:rsid w:val="665817E0"/>
    <w:rsid w:val="67B65F44"/>
    <w:rsid w:val="68D972FF"/>
    <w:rsid w:val="68FF2471"/>
    <w:rsid w:val="6A1E3C44"/>
    <w:rsid w:val="6A7810CC"/>
    <w:rsid w:val="6B5D4D85"/>
    <w:rsid w:val="6BBE317D"/>
    <w:rsid w:val="6BC71757"/>
    <w:rsid w:val="6CED7C56"/>
    <w:rsid w:val="6D29667F"/>
    <w:rsid w:val="6E8F1811"/>
    <w:rsid w:val="70486669"/>
    <w:rsid w:val="71621FEA"/>
    <w:rsid w:val="754D3486"/>
    <w:rsid w:val="75AB2224"/>
    <w:rsid w:val="767C28E3"/>
    <w:rsid w:val="78207ECB"/>
    <w:rsid w:val="78C56100"/>
    <w:rsid w:val="7A032BCE"/>
    <w:rsid w:val="7BC622A8"/>
    <w:rsid w:val="7C926473"/>
    <w:rsid w:val="7E1165A0"/>
    <w:rsid w:val="7E950D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2021-08-17T06:41:24Z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