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成都尚诚嘉得广告有限公司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Q：35.05.01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E：35.05.01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O：35.05.01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余家龙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信息收集--概念设计--签单--设计--客户验收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设计</w:t>
            </w:r>
            <w:r>
              <w:rPr>
                <w:rFonts w:hint="eastAsia"/>
                <w:b/>
                <w:sz w:val="20"/>
              </w:rPr>
              <w:t>过程采取</w:t>
            </w:r>
            <w:r>
              <w:rPr>
                <w:rFonts w:hint="eastAsia"/>
                <w:b/>
                <w:sz w:val="20"/>
                <w:lang w:eastAsia="zh-CN"/>
              </w:rPr>
              <w:t>设计作业指导书</w:t>
            </w:r>
            <w:r>
              <w:rPr>
                <w:rFonts w:hint="eastAsia"/>
                <w:b/>
                <w:sz w:val="20"/>
              </w:rPr>
              <w:t>控制，针对</w:t>
            </w:r>
            <w:r>
              <w:rPr>
                <w:rFonts w:hint="eastAsia"/>
                <w:b/>
                <w:sz w:val="20"/>
                <w:lang w:eastAsia="zh-CN"/>
              </w:rPr>
              <w:t>设计</w:t>
            </w:r>
            <w:r>
              <w:rPr>
                <w:rFonts w:hint="eastAsia"/>
                <w:b/>
                <w:sz w:val="20"/>
              </w:rPr>
              <w:t>的产品不合格，交货不准时等风险，通过管理方案和预案进行控制。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、中华人民共和国安全生产法、中华人民共和国环境影响评价法、中华人民共和国消防法、移动广告业务技术要求</w:t>
            </w:r>
            <w:r>
              <w:rPr>
                <w:rFonts w:hint="eastAsia"/>
                <w:b/>
                <w:sz w:val="20"/>
                <w:lang w:eastAsia="zh-CN"/>
              </w:rPr>
              <w:t>、广告经营单位业务管理规范、</w:t>
            </w:r>
            <w:r>
              <w:rPr>
                <w:rFonts w:hint="eastAsia"/>
                <w:b/>
                <w:sz w:val="20"/>
              </w:rPr>
              <w:t>客户合同及要求</w:t>
            </w:r>
            <w:r>
              <w:rPr>
                <w:rFonts w:hint="eastAsia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顾客满意度</w:t>
            </w:r>
            <w:r>
              <w:rPr>
                <w:rFonts w:hint="eastAsia"/>
                <w:b/>
                <w:sz w:val="20"/>
                <w:lang w:eastAsia="zh-CN"/>
              </w:rPr>
              <w:t>、设计及时交付</w:t>
            </w:r>
            <w:r>
              <w:rPr>
                <w:rFonts w:hint="eastAsia"/>
                <w:b/>
                <w:sz w:val="20"/>
              </w:rPr>
              <w:t>等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100965</wp:posOffset>
                  </wp:positionV>
                  <wp:extent cx="323850" cy="335280"/>
                  <wp:effectExtent l="0" t="0" r="0" b="7620"/>
                  <wp:wrapNone/>
                  <wp:docPr id="1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155575</wp:posOffset>
                  </wp:positionV>
                  <wp:extent cx="323850" cy="335280"/>
                  <wp:effectExtent l="0" t="0" r="0" b="762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4F4A9E"/>
    <w:rsid w:val="0A07088E"/>
    <w:rsid w:val="239452B8"/>
    <w:rsid w:val="289D60B2"/>
    <w:rsid w:val="28BB1FF7"/>
    <w:rsid w:val="28C00D54"/>
    <w:rsid w:val="28CF0B97"/>
    <w:rsid w:val="40982600"/>
    <w:rsid w:val="40DF3E63"/>
    <w:rsid w:val="42D16A8A"/>
    <w:rsid w:val="4B6E1B73"/>
    <w:rsid w:val="513859ED"/>
    <w:rsid w:val="53A114B5"/>
    <w:rsid w:val="56A953EE"/>
    <w:rsid w:val="588E7E4E"/>
    <w:rsid w:val="63B06F57"/>
    <w:rsid w:val="644B7AD5"/>
    <w:rsid w:val="663E63C1"/>
    <w:rsid w:val="6B8C1408"/>
    <w:rsid w:val="712D1E7D"/>
    <w:rsid w:val="76AA188D"/>
    <w:rsid w:val="7B1B6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2021-08-17T03:04:27Z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