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受审核方：成都金戈石油机械有限公司</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t>www.</w:t>
      </w:r>
      <w:r>
        <w:rPr>
          <w:rFonts w:hint="eastAsia" w:ascii="楷体" w:hAnsi="楷体" w:eastAsia="楷体"/>
          <w:b/>
          <w:color w:val="000000"/>
          <w:sz w:val="36"/>
          <w:szCs w:val="36"/>
        </w:rPr>
        <w:t>china-isc.org.cn</w:t>
      </w:r>
    </w:p>
    <w:p>
      <w:pPr>
        <w:rPr>
          <w:rFonts w:hint="eastAsia" w:ascii="宋体" w:hAnsi="宋体"/>
          <w:b/>
          <w:color w:val="000000"/>
          <w:sz w:val="26"/>
          <w:szCs w:val="26"/>
        </w:rPr>
      </w:pPr>
    </w:p>
    <w:p>
      <w:pPr>
        <w:rPr>
          <w:rFonts w:hint="eastAsia" w:ascii="宋体" w:hAnsi="宋体"/>
          <w:b/>
          <w:color w:val="000000"/>
          <w:sz w:val="26"/>
          <w:szCs w:val="26"/>
        </w:rPr>
      </w:pPr>
    </w:p>
    <w:p>
      <w:pPr>
        <w:rPr>
          <w:rFonts w:ascii="宋体"/>
          <w:b/>
          <w:color w:val="000000"/>
          <w:sz w:val="26"/>
          <w:szCs w:val="26"/>
        </w:rPr>
      </w:pPr>
      <w:r>
        <w:rPr>
          <w:rFonts w:hint="eastAsia" w:ascii="宋体" w:hAnsi="宋体"/>
          <w:b/>
          <w:color w:val="000000"/>
          <w:sz w:val="26"/>
          <w:szCs w:val="26"/>
        </w:rPr>
        <w:t>一、审核方基本信息</w:t>
      </w:r>
    </w:p>
    <w:tbl>
      <w:tblPr>
        <w:tblStyle w:val="7"/>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李俐</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1699" w:type="dxa"/>
            <w:vAlign w:val="center"/>
          </w:tcPr>
          <w:p>
            <w:pPr>
              <w:jc w:val="center"/>
              <w:rPr>
                <w:b/>
                <w:sz w:val="21"/>
                <w:szCs w:val="21"/>
              </w:rPr>
            </w:pPr>
            <w:r>
              <w:rPr>
                <w:b/>
                <w:sz w:val="21"/>
                <w:szCs w:val="21"/>
              </w:rPr>
              <w:t>2018-N1QMS-1222792</w:t>
            </w:r>
          </w:p>
        </w:tc>
        <w:tc>
          <w:tcPr>
            <w:tcW w:w="1728" w:type="dxa"/>
            <w:gridSpan w:val="2"/>
            <w:vAlign w:val="center"/>
          </w:tcPr>
          <w:p>
            <w:pPr>
              <w:jc w:val="center"/>
              <w:rPr>
                <w:b/>
                <w:sz w:val="21"/>
                <w:szCs w:val="21"/>
              </w:rPr>
            </w:pPr>
            <w:r>
              <w:rPr>
                <w:b/>
                <w:sz w:val="21"/>
                <w:szCs w:val="21"/>
              </w:rPr>
              <w:t>18.05.02,18.08.00,34.06.00</w:t>
            </w:r>
          </w:p>
        </w:tc>
        <w:tc>
          <w:tcPr>
            <w:tcW w:w="1729" w:type="dxa"/>
            <w:gridSpan w:val="2"/>
            <w:vAlign w:val="center"/>
          </w:tcPr>
          <w:p>
            <w:pPr>
              <w:jc w:val="center"/>
              <w:rPr>
                <w:b/>
                <w:sz w:val="21"/>
                <w:szCs w:val="21"/>
              </w:rPr>
            </w:pPr>
            <w:r>
              <w:rPr>
                <w:b/>
                <w:sz w:val="21"/>
                <w:szCs w:val="21"/>
              </w:rPr>
              <w:t>ISC[S]0008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刘国斌</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专家</w:t>
            </w:r>
          </w:p>
          <w:p>
            <w:pPr>
              <w:jc w:val="center"/>
              <w:rPr>
                <w:b/>
                <w:sz w:val="21"/>
                <w:szCs w:val="21"/>
              </w:rPr>
            </w:pPr>
          </w:p>
        </w:tc>
        <w:tc>
          <w:tcPr>
            <w:tcW w:w="1699" w:type="dxa"/>
            <w:vAlign w:val="center"/>
          </w:tcPr>
          <w:p>
            <w:pPr>
              <w:jc w:val="center"/>
              <w:rPr>
                <w:b/>
                <w:sz w:val="21"/>
                <w:szCs w:val="21"/>
              </w:rPr>
            </w:pPr>
            <w:r>
              <w:rPr>
                <w:b/>
                <w:sz w:val="21"/>
                <w:szCs w:val="21"/>
              </w:rPr>
              <w:t>宝鸡市通华石油设备制造有限公司</w:t>
            </w:r>
          </w:p>
        </w:tc>
        <w:tc>
          <w:tcPr>
            <w:tcW w:w="1728" w:type="dxa"/>
            <w:gridSpan w:val="2"/>
            <w:vAlign w:val="center"/>
          </w:tcPr>
          <w:p>
            <w:pPr>
              <w:jc w:val="center"/>
              <w:rPr>
                <w:b/>
                <w:sz w:val="21"/>
                <w:szCs w:val="21"/>
              </w:rPr>
            </w:pPr>
            <w:r>
              <w:rPr>
                <w:b/>
                <w:sz w:val="21"/>
                <w:szCs w:val="21"/>
              </w:rPr>
              <w:t>39.03.02</w:t>
            </w:r>
          </w:p>
        </w:tc>
        <w:tc>
          <w:tcPr>
            <w:tcW w:w="1729" w:type="dxa"/>
            <w:gridSpan w:val="2"/>
            <w:vAlign w:val="center"/>
          </w:tcPr>
          <w:p>
            <w:pPr>
              <w:jc w:val="center"/>
              <w:rPr>
                <w:b/>
                <w:sz w:val="21"/>
                <w:szCs w:val="21"/>
              </w:rPr>
            </w:pPr>
            <w:r>
              <w:rPr>
                <w:b/>
                <w:sz w:val="21"/>
                <w:szCs w:val="21"/>
              </w:rPr>
              <w:t>ISC-JSZJ-018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□认证注册：__________</w:t>
      </w:r>
    </w:p>
    <w:p>
      <w:pPr>
        <w:tabs>
          <w:tab w:val="left" w:pos="645"/>
        </w:tabs>
        <w:rPr>
          <w:rFonts w:hint="eastAsia"/>
          <w:b/>
          <w:sz w:val="21"/>
          <w:szCs w:val="21"/>
        </w:rPr>
      </w:pPr>
      <w:r>
        <w:rPr>
          <w:rFonts w:hint="eastAsia"/>
          <w:b/>
          <w:sz w:val="21"/>
          <w:szCs w:val="21"/>
          <w:lang w:eastAsia="zh-CN"/>
        </w:rPr>
        <w:t>☑</w:t>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ISO45001：2018标准</w:t>
      </w:r>
    </w:p>
    <w:p>
      <w:pPr>
        <w:tabs>
          <w:tab w:val="left" w:pos="645"/>
        </w:tabs>
        <w:rPr>
          <w:b/>
          <w:sz w:val="21"/>
          <w:szCs w:val="21"/>
        </w:rPr>
      </w:pPr>
      <w:r>
        <w:rPr>
          <w:rFonts w:hint="eastAsia"/>
          <w:b/>
          <w:sz w:val="21"/>
          <w:szCs w:val="21"/>
          <w:lang w:eastAsia="zh-CN"/>
        </w:rPr>
        <w:t>☑</w:t>
      </w:r>
      <w:r>
        <w:rPr>
          <w:rFonts w:hint="eastAsia"/>
          <w:b/>
          <w:sz w:val="21"/>
          <w:szCs w:val="21"/>
        </w:rPr>
        <w:t>受审核方管理体系文件</w:t>
      </w:r>
      <w:r>
        <w:rPr>
          <w:rFonts w:hint="eastAsia"/>
          <w:b/>
          <w:sz w:val="21"/>
          <w:szCs w:val="21"/>
          <w:lang w:eastAsia="zh-CN"/>
        </w:rPr>
        <w:t>☑</w:t>
      </w:r>
      <w:r>
        <w:rPr>
          <w:rFonts w:hint="eastAsia"/>
          <w:b/>
          <w:sz w:val="21"/>
          <w:szCs w:val="21"/>
        </w:rPr>
        <w:t>适用的法律法规</w:t>
      </w:r>
      <w:r>
        <w:rPr>
          <w:rFonts w:hint="eastAsia"/>
          <w:b/>
          <w:sz w:val="21"/>
          <w:szCs w:val="21"/>
          <w:lang w:eastAsia="zh-CN"/>
        </w:rPr>
        <w:t>☑</w:t>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7"/>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2163"/>
        <w:gridCol w:w="865"/>
        <w:gridCol w:w="137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9" w:name="组织名称Add"/>
            <w:r>
              <w:rPr>
                <w:rFonts w:hint="eastAsia" w:ascii="宋体" w:hAnsi="宋体"/>
                <w:b/>
                <w:sz w:val="21"/>
              </w:rPr>
              <w:t>成都金戈石油机械有限公司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vAlign w:val="center"/>
          </w:tcPr>
          <w:p>
            <w:pPr>
              <w:jc w:val="center"/>
              <w:rPr>
                <w:rFonts w:ascii="宋体"/>
                <w:b/>
                <w:sz w:val="21"/>
              </w:rPr>
            </w:pPr>
            <w:bookmarkStart w:id="10" w:name="注册地址"/>
            <w:r>
              <w:rPr>
                <w:rFonts w:ascii="宋体"/>
                <w:b/>
                <w:sz w:val="21"/>
              </w:rPr>
              <w:t>成都市锦江区一环路东四段14号</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vAlign w:val="center"/>
          </w:tcPr>
          <w:p>
            <w:pPr>
              <w:jc w:val="center"/>
              <w:rPr>
                <w:rFonts w:ascii="宋体"/>
                <w:b/>
                <w:sz w:val="21"/>
              </w:rPr>
            </w:pPr>
            <w:bookmarkStart w:id="11" w:name="注册邮编"/>
            <w:r>
              <w:rPr>
                <w:rFonts w:ascii="宋体"/>
                <w:b/>
                <w:sz w:val="21"/>
              </w:rPr>
              <w:t>610000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vAlign w:val="center"/>
          </w:tcPr>
          <w:p>
            <w:pPr>
              <w:jc w:val="center"/>
              <w:rPr>
                <w:rFonts w:ascii="宋体"/>
                <w:b/>
                <w:sz w:val="21"/>
              </w:rPr>
            </w:pPr>
            <w:bookmarkStart w:id="12" w:name="生产地址"/>
            <w:r>
              <w:rPr>
                <w:rFonts w:ascii="宋体"/>
                <w:b/>
                <w:sz w:val="21"/>
              </w:rPr>
              <w:t>成都市新都工业东区白云路468号</w:t>
            </w:r>
            <w:bookmarkEnd w:id="12"/>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3" w:name="办公邮编"/>
            <w:r>
              <w:rPr>
                <w:rFonts w:ascii="宋体"/>
                <w:b/>
                <w:sz w:val="21"/>
              </w:rPr>
              <w:t>610000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vAlign w:val="center"/>
          </w:tcPr>
          <w:p>
            <w:pPr>
              <w:jc w:val="center"/>
              <w:rPr>
                <w:rFonts w:ascii="宋体"/>
                <w:b/>
                <w:sz w:val="21"/>
              </w:rPr>
            </w:pPr>
            <w:bookmarkStart w:id="14" w:name="生产地址Add"/>
            <w:r>
              <w:rPr>
                <w:rFonts w:ascii="宋体"/>
                <w:b/>
                <w:sz w:val="21"/>
              </w:rPr>
              <w:t>成都市新都工业东区白云路468号</w:t>
            </w:r>
            <w:bookmarkEnd w:id="14"/>
          </w:p>
        </w:tc>
        <w:tc>
          <w:tcPr>
            <w:tcW w:w="1672" w:type="dxa"/>
            <w:vMerge w:val="continue"/>
            <w:vAlign w:val="center"/>
          </w:tcPr>
          <w:p>
            <w:pPr>
              <w:jc w:val="center"/>
              <w:rPr>
                <w:rFonts w:ascii="宋体"/>
                <w:b/>
                <w:sz w:val="21"/>
              </w:rPr>
            </w:pPr>
          </w:p>
        </w:tc>
        <w:tc>
          <w:tcPr>
            <w:tcW w:w="1500" w:type="dxa"/>
            <w:vAlign w:val="center"/>
          </w:tcPr>
          <w:p>
            <w:pPr>
              <w:jc w:val="center"/>
              <w:rPr>
                <w:rFonts w:ascii="宋体"/>
                <w:b/>
                <w:sz w:val="21"/>
              </w:rPr>
            </w:pPr>
            <w:bookmarkStart w:id="15" w:name="生产邮编"/>
            <w:r>
              <w:rPr>
                <w:rFonts w:ascii="宋体"/>
                <w:b/>
                <w:sz w:val="21"/>
              </w:rPr>
              <w:t>610000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2163" w:type="dxa"/>
            <w:vAlign w:val="center"/>
          </w:tcPr>
          <w:p>
            <w:pPr>
              <w:jc w:val="center"/>
              <w:rPr>
                <w:rFonts w:ascii="宋体"/>
                <w:b/>
                <w:sz w:val="21"/>
              </w:rPr>
            </w:pPr>
            <w:bookmarkStart w:id="16" w:name="联系人"/>
            <w:r>
              <w:rPr>
                <w:rFonts w:ascii="宋体"/>
                <w:b/>
                <w:sz w:val="21"/>
              </w:rPr>
              <w:t>杨丰豪</w:t>
            </w:r>
            <w:bookmarkEnd w:id="16"/>
          </w:p>
        </w:tc>
        <w:tc>
          <w:tcPr>
            <w:tcW w:w="865" w:type="dxa"/>
            <w:vAlign w:val="center"/>
          </w:tcPr>
          <w:p>
            <w:pPr>
              <w:jc w:val="center"/>
              <w:rPr>
                <w:rFonts w:ascii="宋体"/>
                <w:b/>
                <w:sz w:val="21"/>
              </w:rPr>
            </w:pPr>
            <w:r>
              <w:rPr>
                <w:rFonts w:hint="eastAsia" w:ascii="宋体" w:hAnsi="宋体"/>
                <w:b/>
                <w:sz w:val="21"/>
              </w:rPr>
              <w:t>电话</w:t>
            </w:r>
            <w:r>
              <w:rPr>
                <w:b/>
                <w:sz w:val="16"/>
                <w:szCs w:val="16"/>
              </w:rPr>
              <w:t>.</w:t>
            </w:r>
          </w:p>
        </w:tc>
        <w:tc>
          <w:tcPr>
            <w:tcW w:w="1388" w:type="dxa"/>
            <w:gridSpan w:val="2"/>
            <w:vAlign w:val="center"/>
          </w:tcPr>
          <w:p>
            <w:pPr>
              <w:jc w:val="center"/>
              <w:rPr>
                <w:rFonts w:ascii="宋体"/>
                <w:b/>
                <w:sz w:val="21"/>
              </w:rPr>
            </w:pPr>
            <w:bookmarkStart w:id="17" w:name="联系人电话Add"/>
            <w:r>
              <w:rPr>
                <w:rFonts w:ascii="宋体"/>
                <w:b/>
                <w:sz w:val="21"/>
              </w:rPr>
              <w:t>13308094080</w:t>
            </w:r>
            <w:bookmarkEnd w:id="17"/>
          </w:p>
        </w:tc>
        <w:tc>
          <w:tcPr>
            <w:tcW w:w="1672" w:type="dxa"/>
            <w:vAlign w:val="center"/>
          </w:tcPr>
          <w:p>
            <w:pPr>
              <w:jc w:val="center"/>
              <w:rPr>
                <w:rFonts w:ascii="宋体"/>
                <w:b/>
                <w:sz w:val="21"/>
              </w:rPr>
            </w:pPr>
            <w:r>
              <w:rPr>
                <w:rFonts w:hint="eastAsia" w:ascii="宋体" w:hAnsi="宋体"/>
                <w:b/>
                <w:sz w:val="21"/>
              </w:rPr>
              <w:t>传真</w:t>
            </w:r>
          </w:p>
        </w:tc>
        <w:tc>
          <w:tcPr>
            <w:tcW w:w="1500" w:type="dxa"/>
            <w:vAlign w:val="center"/>
          </w:tcPr>
          <w:p>
            <w:pPr>
              <w:jc w:val="center"/>
              <w:rPr>
                <w:rFonts w:ascii="宋体"/>
                <w:b/>
                <w:sz w:val="21"/>
              </w:rPr>
            </w:pPr>
            <w:bookmarkStart w:id="18" w:name="联系人传真"/>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2163" w:type="dxa"/>
            <w:vAlign w:val="center"/>
          </w:tcPr>
          <w:p>
            <w:pPr>
              <w:jc w:val="center"/>
              <w:rPr>
                <w:rFonts w:ascii="宋体" w:hAnsi="宋体"/>
                <w:b/>
                <w:sz w:val="21"/>
                <w:szCs w:val="21"/>
              </w:rPr>
            </w:pPr>
            <w:bookmarkStart w:id="19" w:name="法人"/>
            <w:r>
              <w:rPr>
                <w:rFonts w:ascii="宋体" w:hAnsi="宋体"/>
                <w:b/>
                <w:sz w:val="21"/>
                <w:szCs w:val="21"/>
              </w:rPr>
              <w:t>袁椿燕</w:t>
            </w:r>
            <w:bookmarkEnd w:id="19"/>
          </w:p>
        </w:tc>
        <w:tc>
          <w:tcPr>
            <w:tcW w:w="865" w:type="dxa"/>
            <w:vAlign w:val="center"/>
          </w:tcPr>
          <w:p>
            <w:pPr>
              <w:jc w:val="center"/>
              <w:rPr>
                <w:rFonts w:ascii="宋体" w:hAnsi="宋体"/>
                <w:b/>
                <w:sz w:val="21"/>
                <w:szCs w:val="21"/>
              </w:rPr>
            </w:pPr>
            <w:r>
              <w:rPr>
                <w:rFonts w:hint="eastAsia" w:ascii="宋体" w:hAnsi="宋体"/>
                <w:b/>
                <w:sz w:val="21"/>
                <w:szCs w:val="21"/>
              </w:rPr>
              <w:t>总经理</w:t>
            </w:r>
          </w:p>
        </w:tc>
        <w:tc>
          <w:tcPr>
            <w:tcW w:w="1388" w:type="dxa"/>
            <w:gridSpan w:val="2"/>
            <w:vAlign w:val="center"/>
          </w:tcPr>
          <w:p>
            <w:pPr>
              <w:jc w:val="center"/>
              <w:rPr>
                <w:rFonts w:ascii="宋体" w:hAnsi="宋体"/>
                <w:b/>
                <w:sz w:val="21"/>
                <w:szCs w:val="21"/>
              </w:rPr>
            </w:pP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vAlign w:val="center"/>
          </w:tcPr>
          <w:p>
            <w:pPr>
              <w:jc w:val="center"/>
              <w:rPr>
                <w:rFonts w:ascii="宋体"/>
                <w:b/>
                <w:sz w:val="21"/>
              </w:rPr>
            </w:pPr>
            <w:bookmarkStart w:id="20" w:name="管理者代表"/>
            <w:r>
              <w:rPr>
                <w:rFonts w:ascii="宋体"/>
                <w:b/>
                <w:sz w:val="21"/>
              </w:rPr>
              <w:t>杨丰豪</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3028" w:type="dxa"/>
            <w:gridSpan w:val="2"/>
            <w:vAlign w:val="center"/>
          </w:tcPr>
          <w:p>
            <w:pPr>
              <w:rPr>
                <w:rFonts w:ascii="宋体" w:hAnsi="宋体"/>
                <w:b/>
                <w:sz w:val="21"/>
                <w:szCs w:val="21"/>
              </w:rPr>
            </w:pPr>
            <w:bookmarkStart w:id="21" w:name="审核日期"/>
            <w:r>
              <w:rPr>
                <w:rFonts w:ascii="宋体" w:hAnsi="宋体"/>
                <w:b/>
                <w:sz w:val="21"/>
                <w:szCs w:val="21"/>
              </w:rPr>
              <w:t>2021年08月03日 上午至2021年08月03日 下午</w:t>
            </w:r>
            <w:bookmarkEnd w:id="21"/>
          </w:p>
        </w:tc>
        <w:tc>
          <w:tcPr>
            <w:tcW w:w="137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hint="eastAsia" w:ascii="宋体" w:hAnsi="宋体" w:eastAsia="宋体"/>
                <w:b/>
                <w:sz w:val="21"/>
                <w:szCs w:val="21"/>
                <w:lang w:eastAsia="zh-CN"/>
              </w:rPr>
            </w:pPr>
            <w:bookmarkStart w:id="22" w:name="Q勾选15Add1"/>
            <w:r>
              <w:rPr>
                <w:rFonts w:hint="eastAsia" w:ascii="宋体" w:hAnsi="宋体"/>
                <w:b/>
                <w:sz w:val="21"/>
                <w:szCs w:val="21"/>
              </w:rPr>
              <w:t>■</w:t>
            </w:r>
            <w:bookmarkEnd w:id="22"/>
            <w:r>
              <w:rPr>
                <w:rFonts w:ascii="宋体" w:hAnsi="宋体"/>
                <w:b/>
                <w:sz w:val="21"/>
                <w:szCs w:val="21"/>
              </w:rPr>
              <w:t>QMS</w:t>
            </w:r>
            <w:r>
              <w:rPr>
                <w:rFonts w:hint="eastAsia" w:ascii="宋体" w:hAnsi="宋体"/>
                <w:b/>
                <w:sz w:val="21"/>
                <w:szCs w:val="21"/>
              </w:rPr>
              <w:t>：石油机械设备配件的生产、维修及技术服务；钻井工程固体废物初步处理(油固分离)</w:t>
            </w:r>
            <w:r>
              <w:rPr>
                <w:rFonts w:hint="eastAsia" w:ascii="宋体" w:hAnsi="宋体"/>
                <w:b/>
                <w:sz w:val="21"/>
                <w:szCs w:val="21"/>
                <w:lang w:eastAsia="zh-CN"/>
              </w:rPr>
              <w:t>。</w:t>
            </w:r>
          </w:p>
          <w:p>
            <w:pPr>
              <w:spacing w:line="360" w:lineRule="exact"/>
              <w:rPr>
                <w:rFonts w:ascii="宋体" w:hAnsi="宋体"/>
                <w:b/>
                <w:sz w:val="21"/>
                <w:szCs w:val="21"/>
              </w:rPr>
            </w:pPr>
            <w:bookmarkStart w:id="23" w:name="E勾选Add1"/>
            <w:r>
              <w:rPr>
                <w:rFonts w:hint="eastAsia" w:ascii="宋体" w:hAnsi="宋体"/>
                <w:b/>
                <w:sz w:val="21"/>
                <w:szCs w:val="21"/>
              </w:rPr>
              <w:t>□</w:t>
            </w:r>
            <w:bookmarkEnd w:id="23"/>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4" w:name="S勾选Add2"/>
            <w:r>
              <w:rPr>
                <w:rFonts w:hint="eastAsia" w:ascii="宋体" w:hAnsi="宋体"/>
                <w:b/>
                <w:sz w:val="21"/>
                <w:szCs w:val="21"/>
              </w:rPr>
              <w:t>□</w:t>
            </w:r>
            <w:bookmarkEnd w:id="24"/>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2163" w:type="dxa"/>
            <w:vAlign w:val="center"/>
          </w:tcPr>
          <w:p>
            <w:pPr>
              <w:spacing w:line="260" w:lineRule="exact"/>
              <w:jc w:val="center"/>
              <w:rPr>
                <w:rFonts w:ascii="宋体" w:hAnsi="宋体"/>
                <w:b/>
                <w:sz w:val="21"/>
                <w:szCs w:val="21"/>
              </w:rPr>
            </w:pPr>
            <w:bookmarkStart w:id="25" w:name="专业代码"/>
            <w:r>
              <w:rPr>
                <w:rFonts w:ascii="宋体" w:hAnsi="宋体"/>
                <w:b/>
                <w:sz w:val="21"/>
                <w:szCs w:val="21"/>
              </w:rPr>
              <w:t>18.05.02;18.08.00;34.06.00;39.03.02</w:t>
            </w:r>
            <w:bookmarkEnd w:id="25"/>
          </w:p>
        </w:tc>
        <w:tc>
          <w:tcPr>
            <w:tcW w:w="865"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388" w:type="dxa"/>
            <w:gridSpan w:val="2"/>
            <w:vAlign w:val="center"/>
          </w:tcPr>
          <w:p>
            <w:pPr>
              <w:spacing w:line="260" w:lineRule="exact"/>
              <w:jc w:val="center"/>
              <w:rPr>
                <w:rFonts w:ascii="宋体" w:hAnsi="宋体"/>
                <w:b/>
                <w:sz w:val="21"/>
                <w:szCs w:val="21"/>
              </w:rPr>
            </w:pPr>
            <w:r>
              <w:rPr>
                <w:rFonts w:hint="eastAsia" w:ascii="宋体" w:hAnsi="宋体"/>
                <w:b/>
                <w:color w:val="000000"/>
                <w:sz w:val="21"/>
                <w:szCs w:val="21"/>
                <w:lang w:val="en-US" w:eastAsia="zh-CN"/>
              </w:rPr>
              <w:t>2022.9.18</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ascii="宋体" w:hAnsi="宋体"/>
                <w:b/>
                <w:sz w:val="21"/>
                <w:szCs w:val="21"/>
              </w:rPr>
              <w:t>2020</w:t>
            </w:r>
            <w:r>
              <w:rPr>
                <w:rFonts w:hint="eastAsia" w:ascii="宋体" w:hAnsi="宋体"/>
                <w:b/>
                <w:sz w:val="21"/>
                <w:szCs w:val="21"/>
                <w:lang w:eastAsia="zh-CN"/>
              </w:rPr>
              <w:t>.</w:t>
            </w:r>
            <w:r>
              <w:rPr>
                <w:rFonts w:ascii="宋体" w:hAnsi="宋体"/>
                <w:b/>
                <w:sz w:val="21"/>
                <w:szCs w:val="21"/>
              </w:rPr>
              <w:t>0</w:t>
            </w:r>
            <w:r>
              <w:rPr>
                <w:rFonts w:hint="eastAsia" w:ascii="宋体" w:hAnsi="宋体"/>
                <w:b/>
                <w:sz w:val="21"/>
                <w:szCs w:val="21"/>
                <w:lang w:val="en-US" w:eastAsia="zh-CN"/>
              </w:rPr>
              <w:t>9.</w:t>
            </w:r>
            <w:r>
              <w:rPr>
                <w:rFonts w:ascii="宋体" w:hAnsi="宋体"/>
                <w:b/>
                <w:sz w:val="21"/>
                <w:szCs w:val="21"/>
              </w:rPr>
              <w:t>07</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hint="eastAsia"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632" w:firstLineChars="300"/>
        <w:rPr>
          <w:rFonts w:hint="eastAsia" w:ascii="宋体" w:hAnsi="宋体" w:cs="Times New Roman"/>
          <w:b/>
          <w:sz w:val="21"/>
          <w:szCs w:val="21"/>
          <w:lang w:eastAsia="zh-CN"/>
        </w:rPr>
      </w:pPr>
      <w:r>
        <w:rPr>
          <w:rFonts w:hint="eastAsia" w:ascii="宋体" w:hAnsi="宋体" w:cs="Times New Roman"/>
          <w:b/>
          <w:sz w:val="21"/>
          <w:szCs w:val="21"/>
          <w:lang w:eastAsia="zh-CN"/>
        </w:rPr>
        <w:t>成都市新都工业东区白云路468号成都金戈石油机械有限公司</w:t>
      </w:r>
    </w:p>
    <w:p>
      <w:pPr>
        <w:spacing w:before="163" w:beforeLines="50"/>
        <w:ind w:left="-194" w:leftChars="-81" w:firstLine="632" w:firstLineChars="300"/>
        <w:rPr>
          <w:rFonts w:hint="eastAsia" w:ascii="宋体" w:hAnsi="宋体"/>
          <w:b/>
          <w:sz w:val="21"/>
          <w:szCs w:val="21"/>
        </w:rPr>
      </w:pPr>
      <w:r>
        <w:rPr>
          <w:rFonts w:hint="eastAsia" w:ascii="宋体" w:hAnsi="宋体"/>
          <w:b/>
          <w:sz w:val="21"/>
          <w:szCs w:val="21"/>
        </w:rPr>
        <w:t>临时场所名称、地址</w:t>
      </w:r>
      <w:r>
        <w:rPr>
          <w:rFonts w:hint="eastAsia" w:ascii="宋体" w:hAnsi="宋体"/>
          <w:b/>
          <w:sz w:val="21"/>
          <w:szCs w:val="21"/>
          <w:lang w:eastAsia="zh-CN"/>
        </w:rPr>
        <w:t>：</w:t>
      </w:r>
      <w:r>
        <w:rPr>
          <w:rFonts w:hint="eastAsia" w:ascii="宋体" w:hAnsi="宋体"/>
          <w:b/>
          <w:bCs/>
          <w:sz w:val="21"/>
          <w:szCs w:val="21"/>
        </w:rPr>
        <w:t>蓬探103井</w:t>
      </w:r>
      <w:r>
        <w:rPr>
          <w:rFonts w:hint="eastAsia" w:ascii="宋体" w:hAnsi="宋体" w:cs="Arial"/>
          <w:b/>
          <w:sz w:val="21"/>
          <w:szCs w:val="21"/>
        </w:rPr>
        <w:t>项目部及现场</w:t>
      </w:r>
      <w:r>
        <w:rPr>
          <w:rFonts w:hint="eastAsia" w:ascii="宋体" w:hAnsi="宋体" w:cs="Arial"/>
          <w:b/>
          <w:sz w:val="21"/>
          <w:szCs w:val="21"/>
          <w:lang w:eastAsia="zh-CN"/>
        </w:rPr>
        <w:t>，</w:t>
      </w:r>
      <w:r>
        <w:rPr>
          <w:rFonts w:hint="eastAsia" w:ascii="宋体" w:hAnsi="宋体"/>
          <w:b/>
          <w:sz w:val="21"/>
          <w:szCs w:val="21"/>
        </w:rPr>
        <w:t>四川省</w:t>
      </w:r>
      <w:r>
        <w:rPr>
          <w:rFonts w:hint="eastAsia" w:ascii="宋体" w:hAnsi="宋体"/>
          <w:b/>
          <w:sz w:val="21"/>
          <w:szCs w:val="21"/>
          <w:lang w:val="en-US" w:eastAsia="zh-CN"/>
        </w:rPr>
        <w:t>广汉</w:t>
      </w:r>
      <w:r>
        <w:rPr>
          <w:rFonts w:hint="eastAsia" w:ascii="宋体" w:hAnsi="宋体"/>
          <w:b/>
          <w:sz w:val="21"/>
          <w:szCs w:val="21"/>
        </w:rPr>
        <w:t>市</w:t>
      </w:r>
      <w:r>
        <w:rPr>
          <w:rFonts w:hint="eastAsia" w:ascii="宋体" w:hAnsi="宋体"/>
          <w:b/>
          <w:sz w:val="21"/>
          <w:szCs w:val="21"/>
          <w:lang w:val="en-US" w:eastAsia="zh-CN"/>
        </w:rPr>
        <w:t xml:space="preserve">新丰镇沙河村 </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r>
        <w:rPr>
          <w:rFonts w:hint="eastAsia" w:ascii="宋体" w:hAnsi="宋体"/>
          <w:b/>
          <w:sz w:val="21"/>
          <w:szCs w:val="21"/>
          <w:lang w:eastAsia="zh-CN"/>
        </w:rPr>
        <w:t>：</w:t>
      </w:r>
      <w:r>
        <w:rPr>
          <w:rFonts w:hint="eastAsia" w:ascii="宋体" w:hAnsi="宋体"/>
          <w:b/>
          <w:sz w:val="21"/>
          <w:szCs w:val="21"/>
        </w:rPr>
        <w:t>石油机械设备配件的生产、维修及技术服务；钻井工程固体废物初步处理(油固分离)</w:t>
      </w:r>
      <w:r>
        <w:rPr>
          <w:rFonts w:hint="eastAsia" w:ascii="宋体" w:hAnsi="宋体"/>
          <w:b/>
          <w:sz w:val="21"/>
          <w:szCs w:val="21"/>
          <w:lang w:eastAsia="zh-CN"/>
        </w:rPr>
        <w:t>。</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b/>
          <w:sz w:val="21"/>
          <w:szCs w:val="21"/>
          <w:lang w:val="en-US" w:eastAsia="zh-CN"/>
        </w:rPr>
        <w:t>2020</w:t>
      </w:r>
      <w:r>
        <w:rPr>
          <w:rFonts w:hint="eastAsia" w:ascii="宋体" w:hAnsi="宋体"/>
          <w:b/>
          <w:sz w:val="21"/>
          <w:szCs w:val="21"/>
        </w:rPr>
        <w:t>年</w:t>
      </w:r>
      <w:r>
        <w:rPr>
          <w:rFonts w:hint="eastAsia" w:ascii="宋体" w:hAnsi="宋体"/>
          <w:b/>
          <w:sz w:val="21"/>
          <w:szCs w:val="21"/>
          <w:lang w:val="en-US" w:eastAsia="zh-CN"/>
        </w:rPr>
        <w:t>9</w:t>
      </w:r>
      <w:r>
        <w:rPr>
          <w:rFonts w:hint="eastAsia" w:ascii="宋体" w:hAnsi="宋体"/>
          <w:b/>
          <w:sz w:val="21"/>
          <w:szCs w:val="21"/>
        </w:rPr>
        <w:t>月</w:t>
      </w:r>
      <w:r>
        <w:rPr>
          <w:rFonts w:hint="eastAsia" w:ascii="宋体" w:hAnsi="宋体"/>
          <w:b/>
          <w:sz w:val="21"/>
          <w:szCs w:val="21"/>
          <w:lang w:val="en-US" w:eastAsia="zh-CN"/>
        </w:rPr>
        <w:t>7</w:t>
      </w:r>
      <w:r>
        <w:rPr>
          <w:rFonts w:hint="eastAsia" w:ascii="宋体" w:hAnsi="宋体"/>
          <w:b/>
          <w:sz w:val="21"/>
          <w:szCs w:val="21"/>
        </w:rPr>
        <w:t>日至</w:t>
      </w:r>
      <w:r>
        <w:rPr>
          <w:rFonts w:hint="eastAsia" w:ascii="宋体" w:hAnsi="宋体"/>
          <w:b/>
          <w:color w:val="000000"/>
          <w:sz w:val="21"/>
          <w:szCs w:val="21"/>
          <w:lang w:val="en-US" w:eastAsia="zh-CN"/>
        </w:rPr>
        <w:t>2021</w:t>
      </w:r>
      <w:r>
        <w:rPr>
          <w:rFonts w:hint="eastAsia" w:ascii="宋体" w:hAnsi="宋体"/>
          <w:b/>
          <w:sz w:val="21"/>
          <w:szCs w:val="21"/>
        </w:rPr>
        <w:t>年</w:t>
      </w:r>
      <w:r>
        <w:rPr>
          <w:rFonts w:hint="eastAsia" w:ascii="宋体" w:hAnsi="宋体"/>
          <w:b/>
          <w:color w:val="000000"/>
          <w:sz w:val="21"/>
          <w:szCs w:val="21"/>
          <w:lang w:val="en-US" w:eastAsia="zh-CN"/>
        </w:rPr>
        <w:t>8</w:t>
      </w:r>
      <w:r>
        <w:rPr>
          <w:rFonts w:hint="eastAsia" w:ascii="宋体" w:hAnsi="宋体"/>
          <w:b/>
          <w:sz w:val="21"/>
          <w:szCs w:val="21"/>
        </w:rPr>
        <w:t>月</w:t>
      </w:r>
      <w:r>
        <w:rPr>
          <w:rFonts w:hint="eastAsia" w:ascii="宋体" w:hAnsi="宋体"/>
          <w:b/>
          <w:color w:val="000000"/>
          <w:sz w:val="21"/>
          <w:szCs w:val="21"/>
          <w:lang w:val="en-US" w:eastAsia="zh-CN"/>
        </w:rPr>
        <w:t>3</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lang w:eastAsia="zh-CN"/>
        </w:rPr>
        <w:t>☑</w:t>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2"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auto"/>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spacing w:line="240" w:lineRule="auto"/>
              <w:rPr>
                <w:rFonts w:ascii="宋体" w:hAnsi="宋体"/>
                <w:b/>
                <w:sz w:val="21"/>
                <w:szCs w:val="21"/>
              </w:rPr>
            </w:pPr>
            <w:r>
              <w:rPr>
                <w:rFonts w:hint="eastAsia" w:ascii="宋体" w:hAnsi="宋体"/>
                <w:b w:val="0"/>
                <w:bCs/>
                <w:sz w:val="2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auto"/>
              <w:rPr>
                <w:rFonts w:hint="eastAsia" w:ascii="宋体" w:hAnsi="宋体"/>
                <w:b/>
                <w:sz w:val="21"/>
                <w:szCs w:val="21"/>
              </w:rPr>
            </w:pPr>
            <w:r>
              <w:rPr>
                <w:rFonts w:hint="eastAsia" w:ascii="宋体" w:hAnsi="宋体"/>
                <w:b/>
                <w:sz w:val="21"/>
                <w:szCs w:val="21"/>
              </w:rPr>
              <w:t>相关方需求和期望识别情况</w:t>
            </w:r>
          </w:p>
          <w:p>
            <w:pPr>
              <w:numPr>
                <w:ilvl w:val="0"/>
                <w:numId w:val="0"/>
              </w:numPr>
              <w:spacing w:line="240" w:lineRule="auto"/>
              <w:rPr>
                <w:rFonts w:ascii="宋体" w:hAnsi="宋体"/>
                <w:b/>
                <w:sz w:val="21"/>
                <w:szCs w:val="21"/>
              </w:rPr>
            </w:pPr>
            <w:r>
              <w:rPr>
                <w:rFonts w:hint="eastAsia" w:ascii="宋体" w:hAnsi="宋体"/>
                <w:b w:val="0"/>
                <w:bCs/>
                <w:sz w:val="21"/>
                <w:szCs w:val="21"/>
              </w:rPr>
              <w:t xml:space="preserve">对相关方的评估、识别和控制各类风险和机遇，理解公司相关方的需求和期望，做到事先预防、合理规避和妥善处理公司各类经营风险和机遇，在管理体系过程中整合并实施风险和机遇所采取的措施，确保管理体系实现预期结果。相关方包括顾客、股东、员工、供应商、竞争对手、社会团体等。相关方期望和要求为价格、安全性、合同协议、行业规范标准等。识别的方法为：主动调查、水平对比等。检测指标或项目：顾客满意度、客户投诉率、供方评价表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2"/>
              </w:numPr>
              <w:spacing w:line="240" w:lineRule="auto"/>
              <w:rPr>
                <w:rFonts w:hint="eastAsia" w:ascii="宋体" w:hAnsi="宋体"/>
                <w:b/>
                <w:sz w:val="21"/>
                <w:szCs w:val="21"/>
              </w:rPr>
            </w:pPr>
            <w:r>
              <w:rPr>
                <w:rFonts w:hint="eastAsia" w:ascii="宋体" w:hAnsi="宋体"/>
                <w:b/>
                <w:sz w:val="21"/>
                <w:szCs w:val="21"/>
                <w:lang w:eastAsia="zh-CN"/>
              </w:rPr>
              <w:t>☑</w:t>
            </w:r>
            <w:r>
              <w:rPr>
                <w:rFonts w:hint="eastAsia" w:ascii="宋体" w:hAnsi="宋体"/>
                <w:b/>
                <w:sz w:val="21"/>
                <w:szCs w:val="21"/>
              </w:rPr>
              <w:t>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numPr>
                <w:ilvl w:val="0"/>
                <w:numId w:val="0"/>
              </w:numPr>
              <w:spacing w:line="240" w:lineRule="auto"/>
              <w:rPr>
                <w:rFonts w:hint="eastAsia" w:ascii="宋体" w:hAnsi="宋体"/>
                <w:b w:val="0"/>
                <w:bCs/>
                <w:sz w:val="21"/>
                <w:szCs w:val="21"/>
              </w:rPr>
            </w:pPr>
            <w:r>
              <w:rPr>
                <w:rFonts w:hint="eastAsia" w:ascii="宋体" w:hAnsi="宋体"/>
                <w:b w:val="0"/>
                <w:bCs/>
                <w:sz w:val="21"/>
                <w:szCs w:val="21"/>
              </w:rPr>
              <w:t>公司的质量方针是：</w:t>
            </w:r>
          </w:p>
          <w:p>
            <w:pPr>
              <w:numPr>
                <w:ilvl w:val="0"/>
                <w:numId w:val="0"/>
              </w:numPr>
              <w:spacing w:line="240" w:lineRule="auto"/>
              <w:rPr>
                <w:rFonts w:hint="eastAsia" w:ascii="宋体" w:hAnsi="宋体"/>
                <w:b w:val="0"/>
                <w:bCs/>
                <w:sz w:val="21"/>
                <w:szCs w:val="21"/>
              </w:rPr>
            </w:pPr>
            <w:r>
              <w:rPr>
                <w:rFonts w:hint="eastAsia" w:ascii="宋体" w:hAnsi="宋体"/>
                <w:b w:val="0"/>
                <w:bCs/>
                <w:sz w:val="21"/>
                <w:szCs w:val="21"/>
              </w:rPr>
              <w:t>质量保生存、顾客满意；创新求发展、持续改进。</w:t>
            </w:r>
          </w:p>
          <w:p>
            <w:pPr>
              <w:spacing w:line="240" w:lineRule="auto"/>
              <w:rPr>
                <w:rFonts w:ascii="宋体" w:hAnsi="宋体"/>
                <w:b/>
                <w:sz w:val="21"/>
                <w:szCs w:val="21"/>
              </w:rPr>
            </w:pPr>
            <w:r>
              <w:rPr>
                <w:rFonts w:hint="eastAsia" w:ascii="宋体" w:hAnsi="宋体"/>
                <w:b w:val="0"/>
                <w:bCs/>
                <w:sz w:val="21"/>
                <w:szCs w:val="21"/>
              </w:rPr>
              <w:t>管理方针在内部适当的沟通，管理评审时进行了评审，方针适宜。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2"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numPr>
                <w:ilvl w:val="0"/>
                <w:numId w:val="1"/>
              </w:numPr>
              <w:spacing w:line="240" w:lineRule="auto"/>
              <w:ind w:left="0" w:leftChars="0" w:firstLine="0" w:firstLineChars="0"/>
              <w:rPr>
                <w:rFonts w:hint="eastAsia" w:ascii="宋体" w:hAnsi="宋体"/>
                <w:b/>
                <w:sz w:val="21"/>
                <w:szCs w:val="21"/>
              </w:rPr>
            </w:pPr>
            <w:r>
              <w:rPr>
                <w:rFonts w:hint="eastAsia" w:ascii="宋体" w:hAnsi="宋体"/>
                <w:b/>
                <w:sz w:val="21"/>
                <w:szCs w:val="21"/>
              </w:rPr>
              <w:t>风险识别与控制策划</w:t>
            </w:r>
          </w:p>
          <w:p>
            <w:pPr>
              <w:numPr>
                <w:ilvl w:val="0"/>
                <w:numId w:val="0"/>
              </w:numPr>
              <w:spacing w:line="240" w:lineRule="auto"/>
              <w:ind w:leftChars="0"/>
              <w:rPr>
                <w:rFonts w:ascii="宋体" w:hAnsi="宋体"/>
                <w:b/>
                <w:sz w:val="21"/>
                <w:szCs w:val="21"/>
              </w:rPr>
            </w:pPr>
            <w:r>
              <w:rPr>
                <w:rFonts w:hint="eastAsia" w:ascii="宋体" w:hAnsi="宋体"/>
                <w:b w:val="0"/>
                <w:bCs/>
                <w:sz w:val="21"/>
                <w:szCs w:val="21"/>
              </w:rPr>
              <w:t>按《风险和机遇控制程序》，对组织内外的风险和机遇进行了策划。提供2020年《风险和机遇评估分析表》，识别了风险和机遇来源、风险和机遇内容、管理措施、责任部门、实时时间、评价措施等，应对措施与风险、机遇基本相适应，制定了新冠肺炎的风险及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tabs>
                <w:tab w:val="left" w:pos="540"/>
              </w:tabs>
              <w:spacing w:line="360" w:lineRule="auto"/>
              <w:ind w:left="201" w:hanging="211" w:hangingChars="100"/>
              <w:rPr>
                <w:rFonts w:hint="eastAsia" w:ascii="宋体" w:hAnsi="宋体" w:eastAsia="宋体"/>
                <w:b/>
                <w:color w:val="000000" w:themeColor="text1"/>
                <w:sz w:val="20"/>
                <w:szCs w:val="20"/>
                <w:u w:val="single"/>
                <w:lang w:eastAsia="zh-CN"/>
              </w:rPr>
            </w:pPr>
            <w:r>
              <w:rPr>
                <w:rFonts w:hint="eastAsia" w:ascii="宋体" w:hAnsi="宋体"/>
                <w:b/>
                <w:sz w:val="21"/>
                <w:szCs w:val="21"/>
              </w:rPr>
              <w:t>质量管理体系过程有：</w:t>
            </w:r>
            <w:r>
              <w:rPr>
                <w:rFonts w:hint="eastAsia" w:ascii="宋体" w:hAnsi="宋体"/>
                <w:color w:val="000000" w:themeColor="text1"/>
                <w:sz w:val="20"/>
                <w:szCs w:val="20"/>
                <w:u w:val="single"/>
              </w:rPr>
              <w:t xml:space="preserve">焊接、组装过程 </w:t>
            </w:r>
            <w:r>
              <w:rPr>
                <w:rFonts w:hint="eastAsia" w:ascii="宋体" w:hAnsi="宋体"/>
                <w:b/>
                <w:color w:val="000000" w:themeColor="text1"/>
                <w:sz w:val="20"/>
                <w:szCs w:val="20"/>
                <w:u w:val="single"/>
                <w:lang w:eastAsia="zh-CN"/>
              </w:rPr>
              <w:t>，</w:t>
            </w:r>
          </w:p>
          <w:p>
            <w:pPr>
              <w:tabs>
                <w:tab w:val="left" w:pos="540"/>
              </w:tabs>
              <w:spacing w:line="360" w:lineRule="auto"/>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r>
              <w:rPr>
                <w:rFonts w:hint="eastAsia" w:ascii="宋体" w:hAnsi="宋体"/>
                <w:color w:val="000000" w:themeColor="text1"/>
                <w:sz w:val="20"/>
                <w:szCs w:val="20"/>
                <w:u w:val="single"/>
              </w:rPr>
              <w:t>焊接过程</w:t>
            </w:r>
            <w:r>
              <w:rPr>
                <w:rFonts w:hint="eastAsia" w:ascii="宋体" w:hAnsi="宋体"/>
                <w:b/>
                <w:color w:val="000000" w:themeColor="text1"/>
                <w:sz w:val="20"/>
                <w:szCs w:val="20"/>
                <w:u w:val="single"/>
              </w:rPr>
              <w:t>，</w:t>
            </w:r>
          </w:p>
          <w:p>
            <w:pPr>
              <w:tabs>
                <w:tab w:val="left" w:pos="540"/>
              </w:tabs>
              <w:spacing w:line="360" w:lineRule="auto"/>
              <w:ind w:left="201" w:hanging="201" w:hangingChars="100"/>
              <w:rPr>
                <w:rFonts w:ascii="宋体" w:hAnsi="宋体"/>
                <w:b/>
                <w:sz w:val="21"/>
                <w:szCs w:val="21"/>
              </w:rPr>
            </w:pPr>
            <w:r>
              <w:rPr>
                <w:rFonts w:hint="eastAsia" w:ascii="宋体" w:hAnsi="宋体"/>
                <w:b/>
                <w:color w:val="000000" w:themeColor="text1"/>
                <w:sz w:val="20"/>
                <w:szCs w:val="20"/>
              </w:rPr>
              <w:t xml:space="preserve">不适用条款是  </w:t>
            </w:r>
            <w:r>
              <w:rPr>
                <w:rFonts w:hint="eastAsia" w:ascii="宋体" w:hAnsi="宋体"/>
                <w:color w:val="000000" w:themeColor="text1"/>
                <w:sz w:val="20"/>
                <w:szCs w:val="20"/>
                <w:u w:val="single"/>
              </w:rPr>
              <w:t xml:space="preserve">8.3条款 </w:t>
            </w:r>
            <w:r>
              <w:rPr>
                <w:rFonts w:hint="eastAsia" w:ascii="宋体" w:hAnsi="宋体"/>
                <w:b/>
                <w:color w:val="000000" w:themeColor="text1"/>
                <w:sz w:val="20"/>
                <w:szCs w:val="20"/>
              </w:rPr>
              <w:t xml:space="preserve">     ，不适用理由： </w:t>
            </w:r>
            <w:r>
              <w:rPr>
                <w:rFonts w:hint="eastAsia" w:ascii="宋体" w:hAnsi="宋体"/>
                <w:color w:val="000000" w:themeColor="text1"/>
                <w:sz w:val="20"/>
                <w:szCs w:val="20"/>
                <w:u w:val="single"/>
              </w:rPr>
              <w:t>按照标准和客户要求生产销售、维修技术服务和油泥泥浆废弃物的处理，不需再进行设计开发，删减适宜。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9"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t>□</w:t>
            </w:r>
            <w:r>
              <w:rPr>
                <w:rFonts w:ascii="宋体" w:hAnsi="宋体"/>
                <w:b/>
                <w:sz w:val="21"/>
                <w:szCs w:val="21"/>
              </w:rPr>
              <w:t>OHSMS</w:t>
            </w:r>
            <w:r>
              <w:rPr>
                <w:rFonts w:hint="eastAsia" w:ascii="宋体" w:hAnsi="宋体"/>
                <w:b/>
                <w:sz w:val="21"/>
                <w:szCs w:val="21"/>
              </w:rPr>
              <w:t>职业健康安全危险源</w:t>
            </w:r>
          </w:p>
          <w:p>
            <w:pPr>
              <w:spacing w:line="240" w:lineRule="exact"/>
              <w:rPr>
                <w:rFonts w:ascii="宋体" w:hAnsi="宋体"/>
                <w:b/>
                <w:sz w:val="21"/>
                <w:szCs w:val="21"/>
              </w:rPr>
            </w:pPr>
            <w:r>
              <w:rPr>
                <w:rFonts w:hint="eastAsia" w:ascii="宋体" w:hAnsi="宋体"/>
                <w:b/>
                <w:sz w:val="21"/>
                <w:szCs w:val="21"/>
              </w:rPr>
              <w:t>（职业健康安全危险源辨识是否充分、风险评价合理性，以及风险评价动态变更的及时性等）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240" w:lineRule="auto"/>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pStyle w:val="14"/>
              <w:numPr>
                <w:ilvl w:val="0"/>
                <w:numId w:val="3"/>
              </w:numPr>
              <w:tabs>
                <w:tab w:val="left" w:pos="540"/>
              </w:tabs>
              <w:spacing w:line="240" w:lineRule="auto"/>
              <w:ind w:firstLineChars="0"/>
              <w:rPr>
                <w:rFonts w:ascii="宋体" w:hAnsi="宋体"/>
                <w:b/>
                <w:color w:val="000000" w:themeColor="text1"/>
                <w:szCs w:val="21"/>
                <w:u w:val="single"/>
              </w:rPr>
            </w:pPr>
            <w:r>
              <w:rPr>
                <w:rFonts w:hint="eastAsia" w:ascii="宋体" w:hAnsi="宋体"/>
                <w:b/>
                <w:color w:val="000000" w:themeColor="text1"/>
                <w:szCs w:val="21"/>
              </w:rPr>
              <w:t>获取法律法规项，</w:t>
            </w:r>
            <w:r>
              <w:rPr>
                <w:rFonts w:hint="eastAsia" w:ascii="宋体" w:hAnsi="宋体"/>
                <w:color w:val="000000"/>
                <w:szCs w:val="21"/>
              </w:rPr>
              <w:t>■</w:t>
            </w:r>
            <w:r>
              <w:rPr>
                <w:rFonts w:hint="eastAsia" w:ascii="宋体" w:hAnsi="宋体"/>
                <w:b/>
                <w:color w:val="000000" w:themeColor="text1"/>
                <w:szCs w:val="21"/>
              </w:rPr>
              <w:t>法律法规获取充分，□法律法规获取有遗漏，缺少</w:t>
            </w:r>
          </w:p>
          <w:p>
            <w:pPr>
              <w:pStyle w:val="14"/>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color w:val="000000"/>
                <w:szCs w:val="21"/>
              </w:rPr>
              <w:t>■</w:t>
            </w:r>
            <w:r>
              <w:rPr>
                <w:rFonts w:hint="eastAsia" w:ascii="宋体" w:hAnsi="宋体"/>
                <w:b/>
                <w:color w:val="000000" w:themeColor="text1"/>
                <w:szCs w:val="21"/>
              </w:rPr>
              <w:t>产品/服务□环境因素□危险源，</w:t>
            </w:r>
            <w:r>
              <w:rPr>
                <w:rFonts w:hint="eastAsia" w:ascii="宋体" w:hAnsi="宋体"/>
                <w:color w:val="000000"/>
                <w:szCs w:val="21"/>
              </w:rPr>
              <w:t>■</w:t>
            </w:r>
            <w:r>
              <w:rPr>
                <w:rFonts w:hint="eastAsia" w:ascii="宋体" w:hAnsi="宋体"/>
                <w:b/>
                <w:color w:val="000000" w:themeColor="text1"/>
                <w:szCs w:val="21"/>
              </w:rPr>
              <w:t>确定 □未确定法律法规要求的具体条款，</w:t>
            </w:r>
          </w:p>
          <w:p>
            <w:pPr>
              <w:pStyle w:val="14"/>
              <w:numPr>
                <w:ilvl w:val="0"/>
                <w:numId w:val="3"/>
              </w:numPr>
              <w:tabs>
                <w:tab w:val="left" w:pos="540"/>
              </w:tabs>
              <w:spacing w:line="240" w:lineRule="auto"/>
              <w:ind w:firstLineChars="0"/>
              <w:rPr>
                <w:rFonts w:ascii="宋体" w:hAnsi="宋体"/>
                <w:szCs w:val="21"/>
                <w:u w:val="single"/>
              </w:rPr>
            </w:pPr>
            <w:r>
              <w:rPr>
                <w:rFonts w:hint="eastAsia" w:ascii="宋体" w:hAnsi="宋体"/>
                <w:b/>
                <w:color w:val="000000" w:themeColor="text1"/>
                <w:szCs w:val="21"/>
              </w:rPr>
              <w:t>法律法规的宣传方式：</w:t>
            </w:r>
            <w:r>
              <w:rPr>
                <w:rFonts w:hint="eastAsia" w:ascii="宋体" w:hAnsi="宋体"/>
                <w:szCs w:val="21"/>
                <w:u w:val="single"/>
              </w:rPr>
              <w:t>公司通过培训、会议等方式向有关员工传达法律、法规及其它要求的相关要求。</w:t>
            </w:r>
          </w:p>
          <w:p>
            <w:pPr>
              <w:pStyle w:val="14"/>
              <w:numPr>
                <w:ilvl w:val="0"/>
                <w:numId w:val="3"/>
              </w:numPr>
              <w:tabs>
                <w:tab w:val="left" w:pos="540"/>
              </w:tabs>
              <w:spacing w:line="240" w:lineRule="auto"/>
              <w:ind w:firstLineChars="0"/>
              <w:rPr>
                <w:rFonts w:ascii="宋体" w:hAnsi="宋体"/>
                <w:b/>
                <w:color w:val="000000" w:themeColor="text1"/>
                <w:szCs w:val="21"/>
              </w:rPr>
            </w:pPr>
            <w:r>
              <w:rPr>
                <w:rFonts w:hint="eastAsia" w:ascii="宋体" w:hAnsi="宋体"/>
                <w:b/>
                <w:color w:val="000000" w:themeColor="text1"/>
                <w:szCs w:val="21"/>
              </w:rPr>
              <w:t>法律法规要求及时更新了：</w:t>
            </w:r>
            <w:r>
              <w:rPr>
                <w:rFonts w:hint="eastAsia" w:ascii="宋体" w:hAnsi="宋体"/>
                <w:szCs w:val="21"/>
                <w:u w:val="single"/>
              </w:rPr>
              <w:t>为最新版本，每年更新一次。</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24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240" w:lineRule="auto"/>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numPr>
                <w:ilvl w:val="0"/>
                <w:numId w:val="4"/>
              </w:numPr>
              <w:spacing w:line="240" w:lineRule="auto"/>
              <w:ind w:left="851" w:hanging="403"/>
              <w:rPr>
                <w:rFonts w:ascii="宋体" w:hAnsi="宋体"/>
                <w:sz w:val="21"/>
                <w:szCs w:val="21"/>
              </w:rPr>
            </w:pPr>
            <w:r>
              <w:rPr>
                <w:rFonts w:hint="eastAsia" w:ascii="宋体" w:hAnsi="宋体"/>
                <w:sz w:val="21"/>
                <w:szCs w:val="21"/>
              </w:rPr>
              <w:t>产品/服务交付及时率100%；</w:t>
            </w:r>
          </w:p>
          <w:p>
            <w:pPr>
              <w:numPr>
                <w:ilvl w:val="0"/>
                <w:numId w:val="5"/>
              </w:numPr>
              <w:tabs>
                <w:tab w:val="left" w:pos="855"/>
              </w:tabs>
              <w:spacing w:line="240" w:lineRule="auto"/>
              <w:ind w:left="851" w:hanging="403"/>
              <w:rPr>
                <w:rFonts w:ascii="宋体" w:hAnsi="宋体"/>
                <w:sz w:val="21"/>
                <w:szCs w:val="21"/>
              </w:rPr>
            </w:pPr>
            <w:r>
              <w:rPr>
                <w:rFonts w:hint="eastAsia" w:ascii="宋体" w:hAnsi="宋体"/>
                <w:sz w:val="21"/>
                <w:szCs w:val="21"/>
              </w:rPr>
              <w:t>产品顾客验收合格率100%；</w:t>
            </w:r>
          </w:p>
          <w:p>
            <w:pPr>
              <w:numPr>
                <w:ilvl w:val="0"/>
                <w:numId w:val="5"/>
              </w:numPr>
              <w:tabs>
                <w:tab w:val="left" w:pos="855"/>
              </w:tabs>
              <w:spacing w:line="240" w:lineRule="auto"/>
              <w:ind w:left="851" w:hanging="403"/>
              <w:rPr>
                <w:rFonts w:ascii="宋体" w:hAnsi="宋体"/>
                <w:sz w:val="21"/>
                <w:szCs w:val="21"/>
              </w:rPr>
            </w:pPr>
            <w:r>
              <w:rPr>
                <w:rFonts w:hint="eastAsia" w:ascii="宋体" w:hAnsi="宋体"/>
                <w:sz w:val="21"/>
                <w:szCs w:val="21"/>
              </w:rPr>
              <w:t>顾客满意率≥90%。</w:t>
            </w:r>
          </w:p>
          <w:p>
            <w:pPr>
              <w:spacing w:line="240" w:lineRule="auto"/>
              <w:ind w:firstLine="420" w:firstLineChars="200"/>
              <w:rPr>
                <w:rFonts w:ascii="宋体" w:hAnsi="宋体"/>
                <w:sz w:val="21"/>
                <w:szCs w:val="21"/>
              </w:rPr>
            </w:pPr>
            <w:r>
              <w:rPr>
                <w:rFonts w:hint="eastAsia" w:ascii="宋体" w:hAnsi="宋体"/>
                <w:sz w:val="21"/>
                <w:szCs w:val="21"/>
              </w:rPr>
              <w:t>目标已分解到各部门。</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720" w:type="dxa"/>
            <w:vMerge w:val="continue"/>
            <w:vAlign w:val="center"/>
          </w:tcPr>
          <w:p>
            <w:pPr>
              <w:spacing w:line="240" w:lineRule="exact"/>
              <w:jc w:val="center"/>
              <w:rPr>
                <w:b/>
                <w:sz w:val="20"/>
              </w:rPr>
            </w:pPr>
          </w:p>
        </w:tc>
        <w:tc>
          <w:tcPr>
            <w:tcW w:w="9198" w:type="dxa"/>
          </w:tcPr>
          <w:p>
            <w:pPr>
              <w:spacing w:line="24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tabs>
                <w:tab w:val="left" w:pos="540"/>
              </w:tabs>
              <w:spacing w:line="240" w:lineRule="auto"/>
              <w:rPr>
                <w:rFonts w:ascii="宋体" w:hAnsi="宋体"/>
                <w:b/>
                <w:sz w:val="21"/>
                <w:szCs w:val="21"/>
              </w:rPr>
            </w:pPr>
            <w:r>
              <w:rPr>
                <w:rFonts w:ascii="宋体" w:hAnsi="宋体"/>
                <w:sz w:val="21"/>
                <w:szCs w:val="21"/>
                <w:u w:val="none"/>
              </w:rPr>
              <w:t>体系文件符合公司要求</w:t>
            </w:r>
            <w:r>
              <w:rPr>
                <w:rFonts w:hint="eastAsia" w:ascii="宋体" w:hAnsi="宋体"/>
                <w:sz w:val="21"/>
                <w:szCs w:val="21"/>
                <w:u w:val="none"/>
              </w:rPr>
              <w:t>，</w:t>
            </w:r>
            <w:r>
              <w:rPr>
                <w:rFonts w:ascii="宋体" w:hAnsi="宋体"/>
                <w:sz w:val="21"/>
                <w:szCs w:val="21"/>
                <w:u w:val="none"/>
              </w:rPr>
              <w:t>文件和记录管理控制符合标准要求</w:t>
            </w:r>
            <w:r>
              <w:rPr>
                <w:rFonts w:hint="eastAsia" w:ascii="宋体" w:hAnsi="宋体"/>
                <w:sz w:val="21"/>
                <w:szCs w:val="21"/>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0"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240" w:lineRule="auto"/>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spacing w:line="240" w:lineRule="auto"/>
              <w:rPr>
                <w:rFonts w:ascii="宋体" w:hAnsi="宋体"/>
                <w:b/>
                <w:sz w:val="21"/>
                <w:szCs w:val="21"/>
              </w:rPr>
            </w:pPr>
            <w:r>
              <w:rPr>
                <w:rFonts w:hint="eastAsia" w:ascii="宋体" w:hAnsi="宋体"/>
                <w:b w:val="0"/>
                <w:bCs/>
                <w:sz w:val="21"/>
                <w:szCs w:val="21"/>
              </w:rPr>
              <w:t>编制了人力资源管理程序，制定培训计划，定期组织相关培训，能满足上岗要求。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ascii="宋体" w:hAnsi="宋体"/>
                <w:b/>
                <w:sz w:val="21"/>
                <w:szCs w:val="21"/>
              </w:rPr>
            </w:pPr>
            <w:r>
              <w:rPr>
                <w:rFonts w:hint="eastAsia" w:ascii="宋体" w:hAnsi="宋体"/>
                <w:b/>
                <w:sz w:val="21"/>
                <w:szCs w:val="21"/>
              </w:rPr>
              <w:t>设备设施（包括信息系统）、</w:t>
            </w:r>
          </w:p>
          <w:p>
            <w:pPr>
              <w:spacing w:line="240" w:lineRule="auto"/>
              <w:rPr>
                <w:rFonts w:ascii="宋体" w:hAnsi="宋体"/>
                <w:b/>
                <w:sz w:val="21"/>
                <w:szCs w:val="21"/>
              </w:rPr>
            </w:pPr>
            <w:r>
              <w:rPr>
                <w:rFonts w:hint="eastAsia" w:ascii="宋体" w:hAnsi="宋体" w:eastAsia="宋体" w:cs="Times New Roman"/>
                <w:b w:val="0"/>
                <w:bCs/>
                <w:sz w:val="21"/>
                <w:szCs w:val="21"/>
              </w:rPr>
              <w:t>主要设备有：剪板机、车床、锯床、刨床、压力机、钻床、切割机、电焊机、五金工具、起重机、离心机、压滤机、搅拌罐、装载机等生产设备，有电脑、打印机、网络设备，厂房和办公室能满足要求；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5"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ascii="宋体" w:hAnsi="宋体"/>
                <w:b/>
                <w:sz w:val="21"/>
                <w:szCs w:val="21"/>
              </w:rPr>
            </w:pPr>
            <w:r>
              <w:rPr>
                <w:rFonts w:hint="eastAsia" w:ascii="宋体" w:hAnsi="宋体"/>
                <w:b/>
                <w:sz w:val="21"/>
                <w:szCs w:val="21"/>
              </w:rPr>
              <w:t>过程运行环境</w:t>
            </w:r>
          </w:p>
          <w:p>
            <w:pPr>
              <w:spacing w:line="240" w:lineRule="auto"/>
              <w:rPr>
                <w:rFonts w:ascii="宋体" w:hAnsi="宋体"/>
                <w:b/>
                <w:sz w:val="21"/>
                <w:szCs w:val="21"/>
              </w:rPr>
            </w:pPr>
            <w:r>
              <w:rPr>
                <w:rFonts w:hint="eastAsia" w:ascii="宋体" w:hAnsi="宋体"/>
                <w:b w:val="0"/>
                <w:bCs/>
                <w:sz w:val="21"/>
                <w:szCs w:val="21"/>
              </w:rPr>
              <w:t>产品生产对环境没有特殊要求，车间布局科学，空间较宽敞、光线较明亮，生产和办公环境干净、整洁。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hint="eastAsia" w:ascii="宋体" w:hAnsi="宋体"/>
                <w:b/>
                <w:sz w:val="21"/>
                <w:szCs w:val="21"/>
              </w:rPr>
            </w:pPr>
            <w:r>
              <w:rPr>
                <w:rFonts w:hint="eastAsia" w:ascii="宋体" w:hAnsi="宋体"/>
                <w:b/>
                <w:sz w:val="21"/>
                <w:szCs w:val="21"/>
              </w:rPr>
              <w:t>监视和测量资源</w:t>
            </w:r>
          </w:p>
          <w:p>
            <w:pPr>
              <w:spacing w:line="240" w:lineRule="auto"/>
              <w:rPr>
                <w:rFonts w:ascii="宋体" w:hAnsi="宋体"/>
                <w:b/>
                <w:sz w:val="21"/>
                <w:szCs w:val="21"/>
              </w:rPr>
            </w:pPr>
            <w:r>
              <w:rPr>
                <w:rFonts w:hint="eastAsia" w:ascii="宋体" w:hAnsi="宋体"/>
                <w:b w:val="0"/>
                <w:bCs/>
                <w:sz w:val="21"/>
                <w:szCs w:val="21"/>
              </w:rPr>
              <w:t>提供《监视和测量装置计量器具管理台账》有外径千分尺、内径千分尺、万用表、游标卡尺等，计量器具均在有效期内</w:t>
            </w:r>
            <w:r>
              <w:rPr>
                <w:rFonts w:hint="eastAsia" w:ascii="宋体" w:hAnsi="宋体"/>
                <w:b w:val="0"/>
                <w:bCs/>
                <w:sz w:val="21"/>
                <w:szCs w:val="21"/>
                <w:lang w:eastAsia="zh-CN"/>
              </w:rPr>
              <w:t>，</w:t>
            </w:r>
            <w:r>
              <w:rPr>
                <w:rFonts w:hint="eastAsia" w:ascii="宋体" w:hAnsi="宋体"/>
                <w:b w:val="0"/>
                <w:bCs/>
                <w:sz w:val="21"/>
                <w:szCs w:val="21"/>
              </w:rPr>
              <w:t>确定检定周期一年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ascii="宋体" w:hAnsi="宋体"/>
                <w:b/>
                <w:sz w:val="21"/>
                <w:szCs w:val="21"/>
              </w:rPr>
            </w:pPr>
            <w:r>
              <w:rPr>
                <w:rFonts w:hint="eastAsia" w:ascii="宋体" w:hAnsi="宋体"/>
                <w:b/>
                <w:sz w:val="21"/>
                <w:szCs w:val="21"/>
              </w:rPr>
              <w:t>知识</w:t>
            </w:r>
          </w:p>
          <w:p>
            <w:pPr>
              <w:spacing w:line="240" w:lineRule="auto"/>
              <w:rPr>
                <w:rFonts w:ascii="宋体" w:hAnsi="宋体"/>
                <w:b/>
                <w:sz w:val="21"/>
                <w:szCs w:val="21"/>
              </w:rPr>
            </w:pPr>
            <w:r>
              <w:rPr>
                <w:rFonts w:hint="eastAsia" w:ascii="宋体" w:hAnsi="宋体"/>
                <w:b w:val="0"/>
                <w:bCs/>
                <w:sz w:val="21"/>
                <w:szCs w:val="21"/>
              </w:rPr>
              <w:t>企业运行过程所需的知识从内部来源获取的有：公司生产服务人员有以往多年工作经验，公司老员工负有对新员工进行的传帮带经验传授的职责。外部来源获取有：管理体系辅导老师传授的体系知识及所实施的培训；生产、检验、采购、销售、技术服务、泥浆处理人员的专业经历、外部供方的产品知识及相关标准、社会知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环保设施：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职业健康安全设施：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24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240" w:lineRule="auto"/>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240" w:lineRule="auto"/>
              <w:ind w:left="1"/>
              <w:rPr>
                <w:rFonts w:ascii="宋体" w:hAnsi="宋体"/>
                <w:b/>
                <w:sz w:val="21"/>
                <w:szCs w:val="21"/>
              </w:rPr>
            </w:pPr>
            <w:r>
              <w:rPr>
                <w:rFonts w:hint="eastAsia" w:ascii="宋体" w:hAnsi="宋体"/>
                <w:b w:val="0"/>
                <w:bCs/>
                <w:sz w:val="21"/>
                <w:szCs w:val="21"/>
              </w:rPr>
              <w:t>管理体系方针沟通、评审符合要求。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内部沟通的情况：内部沟通方式：</w:t>
            </w:r>
            <w:r>
              <w:rPr>
                <w:rFonts w:hint="eastAsia" w:asciiTheme="minorEastAsia" w:hAnsiTheme="minorEastAsia" w:eastAsiaTheme="minorEastAsia"/>
                <w:sz w:val="21"/>
                <w:szCs w:val="21"/>
                <w:u w:val="single"/>
              </w:rPr>
              <w:t>培训、会议、宣传栏；</w:t>
            </w:r>
          </w:p>
          <w:p>
            <w:pPr>
              <w:spacing w:line="240" w:lineRule="auto"/>
              <w:rPr>
                <w:rFonts w:asciiTheme="minorEastAsia" w:hAnsiTheme="minorEastAsia" w:eastAsiaTheme="minorEastAsia"/>
                <w:b/>
                <w:color w:val="000000" w:themeColor="text1"/>
                <w:sz w:val="20"/>
                <w:szCs w:val="20"/>
              </w:rPr>
            </w:pPr>
            <w:r>
              <w:rPr>
                <w:rFonts w:hint="eastAsia" w:asciiTheme="minorEastAsia" w:hAnsiTheme="minorEastAsia" w:eastAsiaTheme="minorEastAsia"/>
                <w:b/>
                <w:color w:val="000000" w:themeColor="text1"/>
                <w:sz w:val="20"/>
                <w:szCs w:val="20"/>
              </w:rPr>
              <w:t xml:space="preserve">                内部沟通的效果：</w:t>
            </w:r>
            <w:r>
              <w:rPr>
                <w:rFonts w:hint="eastAsia" w:asciiTheme="minorEastAsia" w:hAnsiTheme="minorEastAsia" w:eastAsiaTheme="minorEastAsia"/>
                <w:sz w:val="21"/>
                <w:szCs w:val="21"/>
                <w:u w:val="single"/>
              </w:rPr>
              <w:t>沟通畅通；</w:t>
            </w:r>
          </w:p>
          <w:p>
            <w:pPr>
              <w:spacing w:line="240" w:lineRule="auto"/>
              <w:rPr>
                <w:rFonts w:ascii="宋体" w:hAnsi="宋体"/>
                <w:b/>
                <w:sz w:val="21"/>
                <w:szCs w:val="21"/>
              </w:rPr>
            </w:pPr>
            <w:r>
              <w:rPr>
                <w:rFonts w:hint="eastAsia" w:asciiTheme="minorEastAsia" w:hAnsiTheme="minorEastAsia" w:eastAsiaTheme="minorEastAsia"/>
                <w:b/>
                <w:color w:val="000000" w:themeColor="text1"/>
                <w:sz w:val="20"/>
                <w:szCs w:val="20"/>
              </w:rPr>
              <w:t>组织对外联络，关注顾客的感受情况（QMS）：</w:t>
            </w:r>
            <w:r>
              <w:rPr>
                <w:rFonts w:hint="eastAsia" w:asciiTheme="minorEastAsia" w:hAnsiTheme="minorEastAsia" w:eastAsiaTheme="minorEastAsia"/>
                <w:sz w:val="21"/>
                <w:szCs w:val="21"/>
                <w:u w:val="single"/>
              </w:rPr>
              <w:t>定期组织顾客满意度调查和走访。</w:t>
            </w:r>
          </w:p>
          <w:p>
            <w:pPr>
              <w:spacing w:line="240" w:lineRule="auto"/>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w:t>
            </w:r>
          </w:p>
          <w:p>
            <w:pPr>
              <w:spacing w:line="240" w:lineRule="auto"/>
              <w:rPr>
                <w:rFonts w:ascii="宋体" w:hAnsi="宋体"/>
                <w:b/>
                <w:sz w:val="21"/>
                <w:szCs w:val="21"/>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p>
          <w:p>
            <w:pPr>
              <w:spacing w:line="240" w:lineRule="auto"/>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w:t>
            </w:r>
          </w:p>
          <w:p>
            <w:pPr>
              <w:spacing w:line="240" w:lineRule="auto"/>
              <w:rPr>
                <w:rFonts w:ascii="宋体" w:hAnsi="宋体"/>
                <w:b/>
                <w:sz w:val="21"/>
                <w:szCs w:val="21"/>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auto"/>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spacing w:line="240" w:lineRule="auto"/>
              <w:jc w:val="left"/>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公司主要从事</w:t>
            </w:r>
            <w:r>
              <w:rPr>
                <w:rFonts w:hint="eastAsia" w:ascii="宋体" w:hAnsi="宋体" w:eastAsia="宋体" w:cs="宋体"/>
                <w:b w:val="0"/>
                <w:bCs w:val="0"/>
                <w:i w:val="0"/>
                <w:iCs w:val="0"/>
                <w:color w:val="000000" w:themeColor="text1"/>
                <w:sz w:val="21"/>
                <w:szCs w:val="21"/>
                <w:u w:val="none"/>
              </w:rPr>
              <w:t>石油钻井机械部件的生产和修理技术服务；钻井油泥、泥浆的处理</w:t>
            </w:r>
            <w:r>
              <w:rPr>
                <w:rFonts w:hint="eastAsia" w:ascii="宋体" w:hAnsi="宋体" w:eastAsia="宋体" w:cs="宋体"/>
                <w:b w:val="0"/>
                <w:bCs w:val="0"/>
                <w:i w:val="0"/>
                <w:iCs w:val="0"/>
                <w:sz w:val="21"/>
                <w:szCs w:val="21"/>
                <w:u w:val="none"/>
              </w:rPr>
              <w:t>，</w:t>
            </w:r>
          </w:p>
          <w:p>
            <w:pPr>
              <w:spacing w:line="240" w:lineRule="auto"/>
              <w:jc w:val="left"/>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生产工艺流程为：</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 xml:space="preserve">采购→检验→下料→机加工→铆焊→组装→喷涂（外包）→检验→交付；  </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修理技术服务流程图：合同签订→修理方案确定→修理技术服务→客户验收交付；  　　　　　　　　　　　</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油泥、泥浆废弃物处理过程：收集→配药→搅拌→压滤→液固分别转运；</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关键过程是焊接、组装、压滤过程，特殊过程是焊接过程，对焊接过程进行了过程确认。</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公司依据客户订单，下达生产计划，接到定单后召开生产会议，进行生产、质量及管理工作协调。</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通过原材料检验、过程检验、成品检验等过程对产品质量、生产进度等进行监控。</w:t>
            </w:r>
          </w:p>
          <w:p>
            <w:pPr>
              <w:spacing w:line="240" w:lineRule="auto"/>
              <w:rPr>
                <w:rFonts w:hint="eastAsia" w:ascii="宋体" w:hAnsi="宋体" w:eastAsia="宋体" w:cs="宋体"/>
                <w:b w:val="0"/>
                <w:bCs w:val="0"/>
                <w:i w:val="0"/>
                <w:iCs w:val="0"/>
                <w:sz w:val="21"/>
                <w:szCs w:val="21"/>
                <w:u w:val="none"/>
              </w:rPr>
            </w:pPr>
            <w:r>
              <w:rPr>
                <w:rFonts w:hint="eastAsia" w:ascii="宋体" w:hAnsi="宋体" w:eastAsia="宋体" w:cs="宋体"/>
                <w:b w:val="0"/>
                <w:bCs w:val="0"/>
                <w:i w:val="0"/>
                <w:iCs w:val="0"/>
                <w:sz w:val="21"/>
                <w:szCs w:val="21"/>
                <w:u w:val="none"/>
              </w:rPr>
              <w:t>为生产过程提供了适宜的设备及环境，配备了胜任的人员。</w:t>
            </w:r>
          </w:p>
          <w:p>
            <w:pPr>
              <w:spacing w:line="240" w:lineRule="auto"/>
              <w:rPr>
                <w:rFonts w:ascii="宋体" w:hAnsi="宋体"/>
                <w:b/>
                <w:sz w:val="21"/>
                <w:szCs w:val="21"/>
              </w:rPr>
            </w:pPr>
            <w:r>
              <w:rPr>
                <w:rFonts w:hint="eastAsia" w:ascii="宋体" w:hAnsi="宋体" w:eastAsia="宋体" w:cs="宋体"/>
                <w:b w:val="0"/>
                <w:bCs w:val="0"/>
                <w:i w:val="0"/>
                <w:iCs w:val="0"/>
                <w:sz w:val="21"/>
                <w:szCs w:val="21"/>
                <w:u w:val="none"/>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spacing w:line="240" w:lineRule="auto"/>
              <w:rPr>
                <w:rFonts w:hint="eastAsia" w:ascii="宋体" w:hAnsi="宋体"/>
                <w:b/>
                <w:sz w:val="21"/>
                <w:szCs w:val="21"/>
              </w:rPr>
            </w:pPr>
            <w:r>
              <w:rPr>
                <w:rFonts w:hint="eastAsia" w:ascii="宋体" w:hAnsi="宋体"/>
                <w:b w:val="0"/>
                <w:bCs/>
                <w:sz w:val="21"/>
                <w:szCs w:val="21"/>
              </w:rPr>
              <w:t>企业参考国家行业主要有：GB/T17744-2015石油天然气工业钻井和修井设备、GB/T19190-2013石油天然气工业钻井和采油提升设备、SY/T5053.2-2007钻井井口控制设备及分流设备控制系统规范、SY/T5532-2016石油钻机绞车、JB/T4238-2005调速型液力偶合器、Q/SY XN0276-2015钻井废弃物无害化处理技术规范等。</w:t>
            </w:r>
          </w:p>
          <w:p>
            <w:pPr>
              <w:spacing w:line="240" w:lineRule="auto"/>
              <w:rPr>
                <w:rFonts w:ascii="宋体" w:hAnsi="宋体"/>
                <w:b/>
                <w:sz w:val="21"/>
                <w:szCs w:val="21"/>
              </w:rPr>
            </w:pPr>
            <w:r>
              <w:rPr>
                <w:rFonts w:hint="eastAsia" w:ascii="宋体" w:hAnsi="宋体" w:cs="Times New Roman"/>
                <w:b w:val="0"/>
                <w:bCs/>
                <w:sz w:val="21"/>
                <w:szCs w:val="21"/>
              </w:rPr>
              <w:t>提供了产品出厂检验报告，产品检验合格，满足顾客要求。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3"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auto"/>
              <w:rPr>
                <w:rFonts w:ascii="宋体" w:hAnsi="宋体"/>
                <w:b/>
                <w:sz w:val="21"/>
                <w:szCs w:val="21"/>
              </w:rPr>
            </w:pPr>
            <w:r>
              <w:rPr>
                <w:rFonts w:hint="eastAsia" w:asciiTheme="minorEastAsia" w:hAnsiTheme="minorEastAsia" w:eastAsiaTheme="minorEastAsia"/>
                <w:szCs w:val="22"/>
                <w:u w:val="single"/>
              </w:rPr>
              <w:t>无</w:t>
            </w:r>
          </w:p>
          <w:p>
            <w:pPr>
              <w:spacing w:line="240" w:lineRule="auto"/>
              <w:ind w:firstLine="207" w:firstLineChars="98"/>
              <w:rPr>
                <w:rFonts w:ascii="宋体" w:hAnsi="宋体"/>
                <w:b/>
                <w:sz w:val="21"/>
                <w:szCs w:val="21"/>
              </w:rPr>
            </w:pPr>
            <w:r>
              <w:rPr>
                <w:rFonts w:hint="eastAsia" w:ascii="宋体" w:hAnsi="宋体"/>
                <w:b/>
                <w:sz w:val="21"/>
                <w:szCs w:val="21"/>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9"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spacing w:line="240" w:lineRule="auto"/>
              <w:rPr>
                <w:rFonts w:ascii="宋体" w:hAnsi="宋体"/>
                <w:b/>
                <w:sz w:val="21"/>
                <w:szCs w:val="21"/>
              </w:rPr>
            </w:pPr>
            <w:r>
              <w:rPr>
                <w:rFonts w:hint="eastAsia" w:ascii="宋体" w:hAnsi="宋体"/>
                <w:b w:val="0"/>
                <w:bCs/>
                <w:sz w:val="21"/>
                <w:szCs w:val="21"/>
              </w:rPr>
              <w:t>提供的《不合格输出控制程序》中规定了对不合格品的标识、记录、隔离、记录和处置的控制要求。采购检验中发现的不合格，要求做好相应的标识，并及时通知采购人员作退/换货处理，生产过程和产品检验过程中发现的少量不合格品作返工、返修和报废处理，批量的不合格品要求填写“不合格品处置单”，记录不合格品名称、规格/型号、数量、不合格事实、评审处置措施，验证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auto"/>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spacing w:line="24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spacing w:line="240" w:lineRule="auto"/>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szCs w:val="21"/>
              </w:rPr>
            </w:pPr>
          </w:p>
        </w:tc>
        <w:tc>
          <w:tcPr>
            <w:tcW w:w="9198" w:type="dxa"/>
          </w:tcPr>
          <w:p>
            <w:pPr>
              <w:spacing w:line="240" w:lineRule="auto"/>
              <w:ind w:left="211" w:hanging="211" w:hangingChars="100"/>
              <w:rPr>
                <w:rFonts w:hint="eastAsia" w:ascii="宋体" w:hAnsi="宋体" w:eastAsia="宋体" w:cs="Times New Roman"/>
                <w:b/>
                <w:sz w:val="21"/>
                <w:szCs w:val="21"/>
              </w:rPr>
            </w:pPr>
            <w:r>
              <w:rPr>
                <w:rFonts w:hint="eastAsia" w:ascii="宋体" w:hAnsi="宋体" w:eastAsia="宋体" w:cs="Times New Roman"/>
                <w:b/>
                <w:sz w:val="21"/>
                <w:szCs w:val="21"/>
              </w:rPr>
              <w:t>10. 对特种设备的维护，检定;（适用时）</w:t>
            </w:r>
          </w:p>
          <w:p>
            <w:pPr>
              <w:spacing w:line="240" w:lineRule="auto"/>
              <w:rPr>
                <w:rFonts w:hint="eastAsia" w:ascii="宋体" w:hAnsi="宋体" w:eastAsia="宋体"/>
                <w:b/>
                <w:sz w:val="21"/>
                <w:szCs w:val="21"/>
                <w:lang w:val="en-US" w:eastAsia="zh-CN"/>
              </w:rPr>
            </w:pPr>
            <w:r>
              <w:rPr>
                <w:rFonts w:hint="eastAsia" w:ascii="宋体" w:hAnsi="宋体" w:eastAsia="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2"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rPr>
                <w:rFonts w:ascii="宋体" w:hAnsi="宋体"/>
                <w:b/>
                <w:sz w:val="21"/>
                <w:szCs w:val="21"/>
              </w:rPr>
            </w:pPr>
            <w:r>
              <w:rPr>
                <w:rFonts w:hint="eastAsia" w:ascii="宋体" w:hAnsi="宋体" w:eastAsia="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auto"/>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spacing w:line="240" w:lineRule="auto"/>
              <w:ind w:firstLine="105" w:firstLineChars="50"/>
              <w:rPr>
                <w:rFonts w:ascii="宋体" w:hAnsi="宋体"/>
                <w:b/>
                <w:sz w:val="21"/>
                <w:szCs w:val="21"/>
              </w:rPr>
            </w:pPr>
            <w:r>
              <w:rPr>
                <w:rFonts w:hint="eastAsia" w:asciiTheme="minorEastAsia" w:hAnsiTheme="minorEastAsia" w:eastAsiaTheme="minorEastAsia"/>
                <w:sz w:val="21"/>
                <w:szCs w:val="21"/>
                <w:u w:val="none"/>
              </w:rPr>
              <w:t>20</w:t>
            </w:r>
            <w:r>
              <w:rPr>
                <w:rFonts w:hint="eastAsia" w:asciiTheme="minorEastAsia" w:hAnsiTheme="minorEastAsia" w:eastAsiaTheme="minorEastAsia"/>
                <w:sz w:val="21"/>
                <w:szCs w:val="21"/>
                <w:u w:val="none"/>
                <w:lang w:val="en-US" w:eastAsia="zh-CN"/>
              </w:rPr>
              <w:t>21</w:t>
            </w:r>
            <w:r>
              <w:rPr>
                <w:rFonts w:hint="eastAsia" w:asciiTheme="minorEastAsia" w:hAnsiTheme="minorEastAsia" w:eastAsiaTheme="minorEastAsia"/>
                <w:sz w:val="21"/>
                <w:szCs w:val="21"/>
                <w:u w:val="none"/>
              </w:rPr>
              <w:t>.</w:t>
            </w:r>
            <w:r>
              <w:rPr>
                <w:rFonts w:hint="eastAsia" w:asciiTheme="minorEastAsia" w:hAnsiTheme="minorEastAsia" w:eastAsiaTheme="minorEastAsia"/>
                <w:sz w:val="21"/>
                <w:szCs w:val="21"/>
                <w:u w:val="none"/>
                <w:lang w:val="en-US" w:eastAsia="zh-CN"/>
              </w:rPr>
              <w:t>7</w:t>
            </w:r>
            <w:r>
              <w:rPr>
                <w:rFonts w:hint="eastAsia" w:asciiTheme="minorEastAsia" w:hAnsiTheme="minorEastAsia" w:eastAsiaTheme="minorEastAsia"/>
                <w:sz w:val="21"/>
                <w:szCs w:val="21"/>
                <w:u w:val="none"/>
              </w:rPr>
              <w:t>.</w:t>
            </w:r>
            <w:r>
              <w:rPr>
                <w:rFonts w:hint="eastAsia" w:asciiTheme="minorEastAsia" w:hAnsiTheme="minorEastAsia" w:eastAsiaTheme="minorEastAsia"/>
                <w:sz w:val="21"/>
                <w:szCs w:val="21"/>
                <w:u w:val="none"/>
                <w:lang w:val="en-US" w:eastAsia="zh-CN"/>
              </w:rPr>
              <w:t>5</w:t>
            </w:r>
            <w:r>
              <w:rPr>
                <w:rFonts w:hint="eastAsia" w:asciiTheme="minorEastAsia" w:hAnsiTheme="minorEastAsia" w:eastAsiaTheme="minorEastAsia"/>
                <w:sz w:val="21"/>
                <w:szCs w:val="21"/>
                <w:u w:val="none"/>
              </w:rPr>
              <w:t>日对质量目标进行了检查，能达标。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numPr>
                <w:ilvl w:val="0"/>
                <w:numId w:val="6"/>
              </w:numPr>
              <w:spacing w:line="240" w:lineRule="auto"/>
              <w:ind w:left="105" w:hanging="105" w:hangingChars="50"/>
              <w:rPr>
                <w:rFonts w:hint="eastAsia" w:ascii="宋体" w:hAnsi="宋体"/>
                <w:b/>
                <w:sz w:val="21"/>
                <w:szCs w:val="21"/>
              </w:rPr>
            </w:pPr>
            <w:r>
              <w:rPr>
                <w:rFonts w:hint="eastAsia" w:ascii="宋体" w:hAnsi="宋体"/>
                <w:b/>
                <w:sz w:val="21"/>
                <w:szCs w:val="21"/>
              </w:rPr>
              <w:t>顾客满意</w:t>
            </w:r>
          </w:p>
          <w:p>
            <w:pPr>
              <w:numPr>
                <w:ilvl w:val="0"/>
                <w:numId w:val="0"/>
              </w:numPr>
              <w:spacing w:line="240" w:lineRule="auto"/>
              <w:ind w:leftChars="-50"/>
              <w:rPr>
                <w:rFonts w:ascii="宋体" w:hAnsi="宋体"/>
                <w:b/>
                <w:sz w:val="21"/>
                <w:szCs w:val="21"/>
              </w:rPr>
            </w:pPr>
            <w:r>
              <w:rPr>
                <w:rFonts w:hint="eastAsia" w:ascii="宋体" w:hAnsi="宋体"/>
                <w:b w:val="0"/>
                <w:bCs/>
                <w:sz w:val="21"/>
                <w:szCs w:val="21"/>
              </w:rPr>
              <w:t>企业主要通过开展顾客满意度调查来收集并了解顾客满意的信息，查见顾客满意程度调查表。调查表从产品质量、外观、价格、交付时间、售后服务等方面对顾客满意度进行了调查，</w:t>
            </w:r>
            <w:r>
              <w:rPr>
                <w:rFonts w:hint="eastAsia" w:ascii="宋体" w:hAnsi="宋体"/>
                <w:b w:val="0"/>
                <w:bCs/>
                <w:sz w:val="21"/>
                <w:szCs w:val="21"/>
                <w:lang w:val="en-US" w:eastAsia="zh-CN"/>
              </w:rPr>
              <w:t>顾客满意度为95%，</w:t>
            </w:r>
            <w:r>
              <w:rPr>
                <w:rFonts w:hint="eastAsia" w:ascii="宋体" w:hAnsi="宋体"/>
                <w:b w:val="0"/>
                <w:bCs/>
                <w:sz w:val="21"/>
                <w:szCs w:val="21"/>
              </w:rPr>
              <w:t>结果表明顾客满意。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spacing w:line="240" w:lineRule="auto"/>
              <w:rPr>
                <w:rFonts w:hint="eastAsia" w:ascii="宋体" w:hAnsi="宋体" w:eastAsia="宋体" w:cs="宋体"/>
                <w:b/>
                <w:color w:val="000000"/>
                <w:sz w:val="21"/>
                <w:szCs w:val="21"/>
                <w:u w:val="none"/>
              </w:rPr>
            </w:pPr>
            <w:r>
              <w:rPr>
                <w:rFonts w:hint="eastAsia" w:ascii="宋体" w:hAnsi="宋体" w:cs="宋体"/>
                <w:b/>
                <w:color w:val="000000"/>
                <w:sz w:val="21"/>
                <w:szCs w:val="21"/>
                <w:lang w:val="en-US" w:eastAsia="zh-CN"/>
              </w:rPr>
              <w:t xml:space="preserve"> </w:t>
            </w:r>
            <w:r>
              <w:rPr>
                <w:rFonts w:hint="eastAsia" w:ascii="宋体" w:hAnsi="宋体" w:eastAsia="宋体" w:cs="宋体"/>
                <w:sz w:val="21"/>
                <w:szCs w:val="21"/>
                <w:u w:val="none"/>
              </w:rPr>
              <w:t>每年一次，本次20</w:t>
            </w:r>
            <w:r>
              <w:rPr>
                <w:rFonts w:hint="eastAsia" w:ascii="宋体" w:hAnsi="宋体" w:cs="宋体"/>
                <w:sz w:val="21"/>
                <w:szCs w:val="21"/>
                <w:u w:val="none"/>
                <w:lang w:val="en-US" w:eastAsia="zh-CN"/>
              </w:rPr>
              <w:t>21</w:t>
            </w:r>
            <w:r>
              <w:rPr>
                <w:rFonts w:hint="eastAsia" w:ascii="宋体" w:hAnsi="宋体" w:eastAsia="宋体" w:cs="宋体"/>
                <w:sz w:val="21"/>
                <w:szCs w:val="21"/>
                <w:u w:val="none"/>
              </w:rPr>
              <w:t>.</w:t>
            </w:r>
            <w:r>
              <w:rPr>
                <w:rFonts w:hint="eastAsia" w:ascii="宋体" w:hAnsi="宋体" w:cs="宋体"/>
                <w:sz w:val="21"/>
                <w:szCs w:val="21"/>
                <w:u w:val="none"/>
                <w:lang w:val="en-US" w:eastAsia="zh-CN"/>
              </w:rPr>
              <w:t>6</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4</w:t>
            </w:r>
            <w:r>
              <w:rPr>
                <w:rFonts w:hint="eastAsia" w:ascii="宋体" w:hAnsi="宋体" w:eastAsia="宋体" w:cs="宋体"/>
                <w:sz w:val="21"/>
                <w:szCs w:val="21"/>
                <w:u w:val="none"/>
              </w:rPr>
              <w:t>-</w:t>
            </w:r>
            <w:r>
              <w:rPr>
                <w:rFonts w:hint="eastAsia" w:ascii="宋体" w:hAnsi="宋体" w:eastAsia="宋体" w:cs="宋体"/>
                <w:sz w:val="21"/>
                <w:szCs w:val="21"/>
                <w:u w:val="none"/>
                <w:lang w:val="en-US" w:eastAsia="zh-CN"/>
              </w:rPr>
              <w:t>1</w:t>
            </w:r>
            <w:r>
              <w:rPr>
                <w:rFonts w:hint="eastAsia" w:ascii="宋体" w:hAnsi="宋体" w:cs="宋体"/>
                <w:sz w:val="21"/>
                <w:szCs w:val="21"/>
                <w:u w:val="none"/>
                <w:lang w:val="en-US" w:eastAsia="zh-CN"/>
              </w:rPr>
              <w:t>5</w:t>
            </w:r>
            <w:r>
              <w:rPr>
                <w:rFonts w:hint="eastAsia" w:ascii="宋体" w:hAnsi="宋体" w:eastAsia="宋体" w:cs="宋体"/>
                <w:sz w:val="21"/>
                <w:szCs w:val="21"/>
                <w:u w:val="none"/>
              </w:rPr>
              <w:t>日内审。</w:t>
            </w:r>
          </w:p>
          <w:p>
            <w:pPr>
              <w:spacing w:line="240" w:lineRule="auto"/>
              <w:rPr>
                <w:b/>
                <w:color w:val="000000"/>
                <w:sz w:val="20"/>
                <w:szCs w:val="20"/>
              </w:rPr>
            </w:pPr>
            <w:r>
              <w:rPr>
                <w:rFonts w:hint="eastAsia"/>
                <w:b/>
                <w:color w:val="000000"/>
                <w:sz w:val="20"/>
                <w:szCs w:val="20"/>
              </w:rPr>
              <w:t xml:space="preserve">了解内审是否覆盖了管理体系范围内的活动及标准的要求; </w:t>
            </w:r>
          </w:p>
          <w:p>
            <w:pPr>
              <w:spacing w:line="240" w:lineRule="auto"/>
              <w:ind w:firstLine="240" w:firstLineChars="100"/>
              <w:rPr>
                <w:rFonts w:ascii="宋体" w:hAnsi="宋体" w:eastAsia="宋体"/>
                <w:szCs w:val="22"/>
                <w:u w:val="none"/>
              </w:rPr>
            </w:pPr>
            <w:r>
              <w:rPr>
                <w:rFonts w:hint="eastAsia" w:ascii="宋体" w:hAnsi="宋体" w:eastAsia="宋体"/>
                <w:szCs w:val="22"/>
                <w:u w:val="none"/>
              </w:rPr>
              <w:t>覆盖。</w:t>
            </w:r>
          </w:p>
          <w:p>
            <w:pPr>
              <w:spacing w:line="240" w:lineRule="auto"/>
              <w:rPr>
                <w:b/>
                <w:color w:val="000000"/>
                <w:sz w:val="20"/>
                <w:szCs w:val="20"/>
              </w:rPr>
            </w:pPr>
            <w:r>
              <w:rPr>
                <w:rFonts w:hint="eastAsia"/>
                <w:b/>
                <w:color w:val="000000"/>
                <w:sz w:val="20"/>
                <w:szCs w:val="20"/>
              </w:rPr>
              <w:t>了解内审结论是什么？</w:t>
            </w:r>
          </w:p>
          <w:p>
            <w:pPr>
              <w:spacing w:line="240" w:lineRule="auto"/>
              <w:rPr>
                <w:rFonts w:ascii="宋体" w:hAnsi="宋体"/>
                <w:b/>
                <w:sz w:val="21"/>
                <w:szCs w:val="21"/>
              </w:rPr>
            </w:pPr>
            <w:r>
              <w:rPr>
                <w:rFonts w:hint="eastAsia" w:ascii="宋体" w:hAnsi="宋体" w:eastAsia="宋体"/>
                <w:sz w:val="21"/>
                <w:szCs w:val="22"/>
                <w:u w:val="none"/>
              </w:rPr>
              <w:t>本次内审从体系运行的效果看，产品实体质量和受控情况有所改进，员工质量意识和顾客满意度有不同程度提高，管理以及物流和信息流的传递都有一定改进。说明公司质量管理体系总体有效运行，基本符合GB/T 19001</w:t>
            </w:r>
            <w:r>
              <w:rPr>
                <w:rFonts w:hint="eastAsia" w:ascii="宋体" w:hAnsi="宋体"/>
                <w:sz w:val="21"/>
                <w:szCs w:val="22"/>
                <w:u w:val="none"/>
                <w:lang w:val="en-US" w:eastAsia="zh-CN"/>
              </w:rPr>
              <w:t>-</w:t>
            </w:r>
            <w:r>
              <w:rPr>
                <w:rFonts w:hint="eastAsia" w:ascii="宋体" w:hAnsi="宋体" w:eastAsia="宋体"/>
                <w:sz w:val="21"/>
                <w:szCs w:val="22"/>
                <w:u w:val="none"/>
              </w:rPr>
              <w:t>2016及体系文件的要求，具备达到规定的质量目标的能力。已发现的1个不符合项已及时纠正整改。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auto"/>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spacing w:line="240" w:lineRule="auto"/>
              <w:ind w:firstLine="210" w:firstLineChars="100"/>
              <w:rPr>
                <w:b/>
                <w:color w:val="000000"/>
                <w:sz w:val="21"/>
                <w:szCs w:val="21"/>
                <w:u w:val="none"/>
              </w:rPr>
            </w:pPr>
            <w:r>
              <w:rPr>
                <w:rFonts w:hint="eastAsia" w:ascii="宋体" w:hAnsi="宋体" w:eastAsia="宋体"/>
                <w:sz w:val="21"/>
                <w:szCs w:val="21"/>
                <w:u w:val="none"/>
              </w:rPr>
              <w:t>每年一次，20</w:t>
            </w:r>
            <w:r>
              <w:rPr>
                <w:rFonts w:hint="eastAsia" w:ascii="宋体" w:hAnsi="宋体" w:eastAsia="宋体"/>
                <w:sz w:val="21"/>
                <w:szCs w:val="21"/>
                <w:u w:val="none"/>
                <w:lang w:val="en-US" w:eastAsia="zh-CN"/>
              </w:rPr>
              <w:t>21</w:t>
            </w:r>
            <w:r>
              <w:rPr>
                <w:rFonts w:hint="eastAsia" w:ascii="宋体" w:hAnsi="宋体" w:eastAsia="宋体"/>
                <w:sz w:val="21"/>
                <w:szCs w:val="21"/>
                <w:u w:val="none"/>
              </w:rPr>
              <w:t>.</w:t>
            </w:r>
            <w:r>
              <w:rPr>
                <w:rFonts w:hint="eastAsia" w:ascii="宋体" w:hAnsi="宋体"/>
                <w:sz w:val="21"/>
                <w:szCs w:val="21"/>
                <w:u w:val="none"/>
                <w:lang w:val="en-US" w:eastAsia="zh-CN"/>
              </w:rPr>
              <w:t>6</w:t>
            </w:r>
            <w:r>
              <w:rPr>
                <w:rFonts w:hint="eastAsia" w:ascii="宋体" w:hAnsi="宋体" w:eastAsia="宋体"/>
                <w:sz w:val="21"/>
                <w:szCs w:val="21"/>
                <w:u w:val="none"/>
              </w:rPr>
              <w:t>.2</w:t>
            </w:r>
            <w:r>
              <w:rPr>
                <w:rFonts w:hint="eastAsia" w:ascii="宋体" w:hAnsi="宋体" w:eastAsia="宋体"/>
                <w:sz w:val="21"/>
                <w:szCs w:val="21"/>
                <w:u w:val="none"/>
                <w:lang w:val="en-US" w:eastAsia="zh-CN"/>
              </w:rPr>
              <w:t>0</w:t>
            </w:r>
            <w:r>
              <w:rPr>
                <w:rFonts w:hint="eastAsia" w:ascii="宋体" w:hAnsi="宋体" w:eastAsia="宋体"/>
                <w:sz w:val="21"/>
                <w:szCs w:val="21"/>
                <w:u w:val="none"/>
              </w:rPr>
              <w:t>日管理评审。</w:t>
            </w:r>
          </w:p>
          <w:p>
            <w:pPr>
              <w:spacing w:line="240" w:lineRule="auto"/>
              <w:rPr>
                <w:b/>
                <w:color w:val="000000"/>
                <w:sz w:val="20"/>
                <w:szCs w:val="20"/>
              </w:rPr>
            </w:pPr>
            <w:r>
              <w:rPr>
                <w:rFonts w:hint="eastAsia"/>
                <w:b/>
                <w:color w:val="000000"/>
                <w:sz w:val="20"/>
                <w:szCs w:val="20"/>
              </w:rPr>
              <w:t xml:space="preserve">了解管理评审输入是否充分; </w:t>
            </w:r>
          </w:p>
          <w:p>
            <w:pPr>
              <w:spacing w:line="240" w:lineRule="auto"/>
              <w:ind w:firstLine="210" w:firstLineChars="100"/>
              <w:rPr>
                <w:rFonts w:ascii="宋体" w:hAnsi="宋体" w:eastAsia="宋体"/>
                <w:sz w:val="21"/>
                <w:szCs w:val="21"/>
                <w:u w:val="none"/>
              </w:rPr>
            </w:pPr>
            <w:r>
              <w:rPr>
                <w:rFonts w:hint="eastAsia" w:ascii="宋体" w:hAnsi="宋体" w:eastAsia="宋体"/>
                <w:sz w:val="21"/>
                <w:szCs w:val="21"/>
                <w:u w:val="none"/>
              </w:rPr>
              <w:t>输入基本充分。</w:t>
            </w:r>
          </w:p>
          <w:p>
            <w:pPr>
              <w:spacing w:line="240" w:lineRule="auto"/>
              <w:rPr>
                <w:b/>
                <w:color w:val="000000"/>
                <w:sz w:val="20"/>
                <w:szCs w:val="20"/>
              </w:rPr>
            </w:pPr>
            <w:r>
              <w:rPr>
                <w:rFonts w:hint="eastAsia"/>
                <w:b/>
                <w:color w:val="000000"/>
                <w:sz w:val="20"/>
                <w:szCs w:val="20"/>
              </w:rPr>
              <w:t xml:space="preserve">了解管理评审结论; </w:t>
            </w:r>
          </w:p>
          <w:p>
            <w:pPr>
              <w:spacing w:line="240" w:lineRule="auto"/>
              <w:rPr>
                <w:rFonts w:ascii="宋体" w:hAnsi="宋体"/>
                <w:b/>
                <w:sz w:val="21"/>
                <w:szCs w:val="21"/>
              </w:rPr>
            </w:pPr>
            <w:r>
              <w:rPr>
                <w:rFonts w:hint="eastAsia"/>
                <w:sz w:val="24"/>
                <w:lang w:val="en-US" w:eastAsia="zh-CN"/>
              </w:rPr>
              <w:t xml:space="preserve"> </w:t>
            </w:r>
            <w:r>
              <w:rPr>
                <w:rFonts w:hint="eastAsia"/>
                <w:sz w:val="21"/>
                <w:szCs w:val="21"/>
              </w:rPr>
              <w:t>公司的质量管理体系基本适宜、充分和有效</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vAlign w:val="top"/>
          </w:tcPr>
          <w:p>
            <w:pPr>
              <w:spacing w:line="360" w:lineRule="auto"/>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b w:val="0"/>
                <w:bCs/>
                <w:sz w:val="21"/>
                <w:szCs w:val="21"/>
              </w:rPr>
              <w:t>对纠正预防措施识别、评审、验证，事故事件报告、调查、处理等作了规定，其内容符合组织实际及标准要求。针对内审管理评审提出的问题已采取了纠正措施。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sz w:val="20"/>
              </w:rPr>
            </w:pPr>
          </w:p>
        </w:tc>
        <w:tc>
          <w:tcPr>
            <w:tcW w:w="9198" w:type="dxa"/>
            <w:vAlign w:val="top"/>
          </w:tcPr>
          <w:p>
            <w:pPr>
              <w:spacing w:line="360" w:lineRule="auto"/>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360" w:lineRule="auto"/>
              <w:rPr>
                <w:rFonts w:ascii="宋体" w:hAnsi="宋体"/>
                <w:b/>
                <w:sz w:val="21"/>
                <w:szCs w:val="21"/>
              </w:rPr>
            </w:pPr>
            <w:r>
              <w:rPr>
                <w:rFonts w:hint="eastAsia" w:ascii="宋体" w:hAnsi="宋体"/>
                <w:b w:val="0"/>
                <w:bCs/>
                <w:sz w:val="21"/>
                <w:szCs w:val="21"/>
              </w:rPr>
              <w:t>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360" w:lineRule="auto"/>
              <w:ind w:left="105" w:leftChars="0" w:hanging="105" w:hangingChars="50"/>
              <w:rPr>
                <w:rFonts w:hint="eastAsia" w:ascii="宋体" w:hAnsi="宋体"/>
                <w:b/>
                <w:sz w:val="21"/>
                <w:szCs w:val="21"/>
              </w:rPr>
            </w:pPr>
            <w:r>
              <w:rPr>
                <w:rFonts w:hint="eastAsia" w:ascii="宋体" w:hAnsi="宋体"/>
                <w:b/>
                <w:sz w:val="21"/>
                <w:szCs w:val="21"/>
              </w:rPr>
              <w:t>创新情况</w:t>
            </w:r>
          </w:p>
          <w:p>
            <w:pPr>
              <w:numPr>
                <w:ilvl w:val="0"/>
                <w:numId w:val="0"/>
              </w:numPr>
              <w:spacing w:line="360" w:lineRule="auto"/>
              <w:ind w:left="-120" w:leftChars="-50" w:firstLine="0" w:firstLineChars="0"/>
              <w:rPr>
                <w:rFonts w:ascii="宋体" w:hAnsi="宋体"/>
                <w:b/>
                <w:sz w:val="21"/>
                <w:szCs w:val="21"/>
              </w:rPr>
            </w:pPr>
            <w:r>
              <w:rPr>
                <w:rFonts w:hint="eastAsia" w:ascii="宋体" w:hAnsi="宋体" w:cs="Times New Roman"/>
                <w:b w:val="0"/>
                <w:bCs/>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720" w:type="dxa"/>
            <w:vMerge w:val="continue"/>
            <w:vAlign w:val="center"/>
          </w:tcPr>
          <w:p>
            <w:pPr>
              <w:spacing w:line="240" w:lineRule="exact"/>
              <w:jc w:val="center"/>
              <w:rPr>
                <w:b/>
                <w:sz w:val="20"/>
              </w:rPr>
            </w:pPr>
          </w:p>
        </w:tc>
        <w:tc>
          <w:tcPr>
            <w:tcW w:w="9198" w:type="dxa"/>
            <w:vAlign w:val="top"/>
          </w:tcPr>
          <w:p>
            <w:pPr>
              <w:numPr>
                <w:ilvl w:val="0"/>
                <w:numId w:val="7"/>
              </w:numPr>
              <w:spacing w:line="360" w:lineRule="auto"/>
              <w:ind w:left="105" w:leftChars="0" w:hanging="105" w:hangingChars="50"/>
              <w:rPr>
                <w:rFonts w:hint="eastAsia" w:ascii="宋体" w:hAnsi="宋体"/>
                <w:b/>
                <w:sz w:val="21"/>
                <w:szCs w:val="21"/>
              </w:rPr>
            </w:pPr>
            <w:r>
              <w:rPr>
                <w:rFonts w:hint="eastAsia" w:ascii="宋体" w:hAnsi="宋体"/>
                <w:b/>
                <w:sz w:val="21"/>
                <w:szCs w:val="21"/>
              </w:rPr>
              <w:t>上次不符合的整改情况</w:t>
            </w:r>
          </w:p>
          <w:p>
            <w:pPr>
              <w:numPr>
                <w:ilvl w:val="0"/>
                <w:numId w:val="0"/>
              </w:numPr>
              <w:spacing w:line="360" w:lineRule="auto"/>
              <w:ind w:leftChars="-50" w:firstLine="420" w:firstLineChars="200"/>
              <w:rPr>
                <w:rFonts w:hint="default" w:ascii="宋体" w:hAnsi="宋体" w:eastAsia="宋体"/>
                <w:b w:val="0"/>
                <w:bCs/>
                <w:sz w:val="21"/>
                <w:szCs w:val="21"/>
                <w:lang w:val="en-US" w:eastAsia="zh-CN"/>
              </w:rPr>
            </w:pPr>
            <w:r>
              <w:rPr>
                <w:rFonts w:hint="eastAsia" w:ascii="宋体" w:hAnsi="宋体"/>
                <w:b w:val="0"/>
                <w:bCs/>
                <w:sz w:val="21"/>
                <w:szCs w:val="21"/>
              </w:rPr>
              <w:t>上次不符合</w:t>
            </w:r>
            <w:r>
              <w:rPr>
                <w:rFonts w:hint="eastAsia" w:ascii="宋体" w:hAnsi="宋体"/>
                <w:b w:val="0"/>
                <w:bCs/>
                <w:sz w:val="21"/>
                <w:szCs w:val="21"/>
                <w:lang w:val="en-US" w:eastAsia="zh-CN"/>
              </w:rPr>
              <w:t>经验证已整改完成</w:t>
            </w:r>
          </w:p>
          <w:p>
            <w:pPr>
              <w:spacing w:line="240" w:lineRule="exact"/>
              <w:rPr>
                <w:rFonts w:ascii="宋体" w:hAnsi="宋体"/>
                <w:b/>
                <w:sz w:val="21"/>
                <w:szCs w:val="21"/>
              </w:rPr>
            </w:pP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7"/>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lang w:eastAsia="zh-CN"/>
        </w:rPr>
        <w:t>☑</w:t>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本次审核共开具不符合项报告项；其中</w:t>
      </w:r>
      <w:r>
        <w:rPr>
          <w:rFonts w:ascii="宋体" w:hAnsi="宋体"/>
          <w:b/>
          <w:szCs w:val="21"/>
        </w:rPr>
        <w:pict>
          <v:line id="直接连接符 1" o:spid="_x0000_s1028"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严重不符合项，一般不符合项，观察项项分布在部门条款，见不符合项分布表。（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7"/>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360" w:lineRule="auto"/>
              <w:ind w:firstLine="210" w:firstLineChars="100"/>
              <w:rPr>
                <w:rFonts w:ascii="宋体" w:hAnsi="宋体"/>
                <w:b/>
                <w:szCs w:val="21"/>
              </w:rPr>
            </w:pPr>
            <w:r>
              <w:rPr>
                <w:rFonts w:hint="eastAsia" w:ascii="宋体" w:hAnsi="宋体" w:eastAsia="宋体" w:cs="宋体"/>
                <w:bCs/>
                <w:color w:val="000000"/>
                <w:sz w:val="2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lang w:eastAsia="zh-CN"/>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lang w:eastAsia="zh-CN"/>
              </w:rPr>
              <w:t>☑</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auto"/>
        <w:rPr>
          <w:b/>
          <w:bCs/>
          <w:sz w:val="21"/>
          <w:szCs w:val="28"/>
        </w:rPr>
      </w:pPr>
    </w:p>
    <w:p>
      <w:pPr>
        <w:tabs>
          <w:tab w:val="left" w:pos="645"/>
        </w:tabs>
        <w:spacing w:after="163" w:afterLines="50" w:line="360" w:lineRule="auto"/>
        <w:rPr>
          <w:b/>
          <w:sz w:val="16"/>
          <w:szCs w:val="16"/>
        </w:rPr>
      </w:pP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1867535</wp:posOffset>
            </wp:positionH>
            <wp:positionV relativeFrom="paragraph">
              <wp:posOffset>334010</wp:posOffset>
            </wp:positionV>
            <wp:extent cx="434340" cy="334010"/>
            <wp:effectExtent l="0" t="0" r="10160" b="8890"/>
            <wp:wrapNone/>
            <wp:docPr id="1" name="图片 1"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577475f2d71659eed95b546a81c2d41"/>
                    <pic:cNvPicPr>
                      <a:picLocks noChangeAspect="1"/>
                    </pic:cNvPicPr>
                  </pic:nvPicPr>
                  <pic:blipFill>
                    <a:blip r:embed="rId6"/>
                    <a:stretch>
                      <a:fillRect/>
                    </a:stretch>
                  </pic:blipFill>
                  <pic:spPr>
                    <a:xfrm>
                      <a:off x="0" y="0"/>
                      <a:ext cx="434340" cy="334010"/>
                    </a:xfrm>
                    <a:prstGeom prst="rect">
                      <a:avLst/>
                    </a:prstGeom>
                  </pic:spPr>
                </pic:pic>
              </a:graphicData>
            </a:graphic>
          </wp:anchor>
        </w:drawing>
      </w:r>
      <w:r>
        <w:rPr>
          <w:rFonts w:hint="eastAsia"/>
          <w:b/>
          <w:sz w:val="26"/>
          <w:szCs w:val="26"/>
        </w:rPr>
        <w:t>十二、审核组签字</w:t>
      </w:r>
    </w:p>
    <w:p>
      <w:pPr>
        <w:snapToGrid w:val="0"/>
        <w:spacing w:line="360" w:lineRule="auto"/>
        <w:ind w:firstLine="527" w:firstLineChars="250"/>
        <w:rPr>
          <w:b/>
          <w:sz w:val="21"/>
        </w:rPr>
      </w:pPr>
      <w:r>
        <w:rPr>
          <w:rFonts w:hint="eastAsia"/>
          <w:b/>
          <w:sz w:val="21"/>
        </w:rPr>
        <w:t>审核组组长（签名）：</w:t>
      </w:r>
    </w:p>
    <w:p>
      <w:pPr>
        <w:snapToGrid w:val="0"/>
        <w:spacing w:before="163" w:beforeLines="50" w:line="360" w:lineRule="auto"/>
        <w:ind w:firstLine="600" w:firstLineChars="250"/>
        <w:rPr>
          <w:b/>
          <w:sz w:val="21"/>
        </w:rPr>
      </w:pPr>
      <w:r>
        <w:rPr>
          <w:rFonts w:hint="eastAsia"/>
          <w:vertAlign w:val="baseline"/>
          <w:lang w:val="en-US" w:eastAsia="zh-CN"/>
        </w:rPr>
        <w:drawing>
          <wp:anchor distT="0" distB="0" distL="114300" distR="114300" simplePos="0" relativeHeight="251662336" behindDoc="0" locked="0" layoutInCell="1" allowOverlap="1">
            <wp:simplePos x="0" y="0"/>
            <wp:positionH relativeFrom="column">
              <wp:posOffset>1704975</wp:posOffset>
            </wp:positionH>
            <wp:positionV relativeFrom="paragraph">
              <wp:posOffset>41275</wp:posOffset>
            </wp:positionV>
            <wp:extent cx="938530" cy="377190"/>
            <wp:effectExtent l="0" t="0" r="1270" b="3810"/>
            <wp:wrapNone/>
            <wp:docPr id="23" name="图片 23" descr="744b4094d0f26d1e18a7a8fdfb518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744b4094d0f26d1e18a7a8fdfb5185b"/>
                    <pic:cNvPicPr>
                      <a:picLocks noChangeAspect="1"/>
                    </pic:cNvPicPr>
                  </pic:nvPicPr>
                  <pic:blipFill>
                    <a:blip r:embed="rId7"/>
                    <a:stretch>
                      <a:fillRect/>
                    </a:stretch>
                  </pic:blipFill>
                  <pic:spPr>
                    <a:xfrm>
                      <a:off x="0" y="0"/>
                      <a:ext cx="938530" cy="377190"/>
                    </a:xfrm>
                    <a:prstGeom prst="rect">
                      <a:avLst/>
                    </a:prstGeom>
                  </pic:spPr>
                </pic:pic>
              </a:graphicData>
            </a:graphic>
          </wp:anchor>
        </w:drawing>
      </w:r>
      <w:r>
        <w:rPr>
          <w:rFonts w:hint="eastAsia"/>
          <w:b/>
          <w:sz w:val="21"/>
        </w:rPr>
        <w:t>审核组组员（签名）：</w:t>
      </w:r>
    </w:p>
    <w:p>
      <w:pPr>
        <w:snapToGrid w:val="0"/>
        <w:spacing w:line="360" w:lineRule="auto"/>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2021.8.3</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lang w:eastAsia="zh-CN"/>
        </w:rPr>
        <w:t>☑</w:t>
      </w:r>
      <w:r>
        <w:rPr>
          <w:b/>
          <w:sz w:val="21"/>
          <w:szCs w:val="21"/>
        </w:rPr>
        <w:t xml:space="preserve">QMS( </w:t>
      </w:r>
      <w:r>
        <w:rPr>
          <w:rFonts w:hint="eastAsia"/>
          <w:b/>
          <w:sz w:val="21"/>
          <w:szCs w:val="21"/>
          <w:lang w:val="en-US" w:eastAsia="zh-CN"/>
        </w:rPr>
        <w:t>1</w:t>
      </w:r>
      <w:r>
        <w:rPr>
          <w:b/>
          <w:sz w:val="21"/>
          <w:szCs w:val="21"/>
        </w:rPr>
        <w:t>)</w:t>
      </w:r>
      <w:r>
        <w:rPr>
          <w:rFonts w:hint="eastAsia"/>
          <w:b/>
          <w:sz w:val="21"/>
          <w:szCs w:val="21"/>
        </w:rPr>
        <w:t>个一般不符合，</w:t>
      </w:r>
      <w:r>
        <w:rPr>
          <w:b/>
          <w:sz w:val="21"/>
          <w:szCs w:val="21"/>
        </w:rPr>
        <w:t>()</w:t>
      </w:r>
      <w:r>
        <w:rPr>
          <w:rFonts w:hint="eastAsia"/>
          <w:b/>
          <w:sz w:val="21"/>
          <w:szCs w:val="21"/>
        </w:rPr>
        <w:t>个严重不符合，</w:t>
      </w:r>
      <w:r>
        <w:rPr>
          <w:rFonts w:hint="eastAsia"/>
          <w:b/>
          <w:sz w:val="21"/>
          <w:szCs w:val="21"/>
          <w:lang w:eastAsia="zh-CN"/>
        </w:rPr>
        <w:t>☑</w:t>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before="163" w:beforeLines="50" w:line="400" w:lineRule="exact"/>
        <w:rPr>
          <w:b/>
          <w:sz w:val="21"/>
          <w:szCs w:val="21"/>
          <w:u w:val="single"/>
        </w:rPr>
      </w:pPr>
      <w:r>
        <w:rPr>
          <w:rFonts w:hint="eastAsia"/>
          <w:b/>
          <w:sz w:val="21"/>
          <w:szCs w:val="21"/>
        </w:rPr>
        <w:t>存在问题说明及意见：</w:t>
      </w:r>
    </w:p>
    <w:p>
      <w:pPr>
        <w:spacing w:before="163" w:beforeLines="50" w:line="480" w:lineRule="auto"/>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line="480" w:lineRule="auto"/>
        <w:ind w:firstLine="1717" w:firstLineChars="900"/>
        <w:rPr>
          <w:b/>
          <w:sz w:val="21"/>
          <w:szCs w:val="21"/>
        </w:rPr>
      </w:pPr>
      <w:r>
        <w:rPr>
          <w:rFonts w:hint="eastAsia"/>
          <w:b/>
          <w:spacing w:val="-10"/>
          <w:sz w:val="21"/>
          <w:szCs w:val="21"/>
          <w:lang w:eastAsia="zh-CN"/>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line="480" w:lineRule="auto"/>
        <w:ind w:firstLine="823" w:firstLineChars="343"/>
        <w:rPr>
          <w:rFonts w:hint="default" w:eastAsia="宋体"/>
          <w:b/>
          <w:sz w:val="21"/>
          <w:szCs w:val="21"/>
          <w:u w:val="single"/>
          <w:lang w:val="en-US" w:eastAsia="zh-CN"/>
        </w:rPr>
      </w:pPr>
      <w:r>
        <w:rPr>
          <w:rFonts w:hint="eastAsia"/>
          <w:vertAlign w:val="baseline"/>
          <w:lang w:val="en-US" w:eastAsia="zh-CN"/>
        </w:rPr>
        <w:drawing>
          <wp:anchor distT="0" distB="0" distL="114300" distR="114300" simplePos="0" relativeHeight="251660288" behindDoc="0" locked="0" layoutInCell="1" allowOverlap="1">
            <wp:simplePos x="0" y="0"/>
            <wp:positionH relativeFrom="column">
              <wp:posOffset>1350645</wp:posOffset>
            </wp:positionH>
            <wp:positionV relativeFrom="paragraph">
              <wp:posOffset>10160</wp:posOffset>
            </wp:positionV>
            <wp:extent cx="434340" cy="334010"/>
            <wp:effectExtent l="0" t="0" r="10160" b="8890"/>
            <wp:wrapNone/>
            <wp:docPr id="102" name="图片 102"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descr="577475f2d71659eed95b546a81c2d41"/>
                    <pic:cNvPicPr>
                      <a:picLocks noChangeAspect="1"/>
                    </pic:cNvPicPr>
                  </pic:nvPicPr>
                  <pic:blipFill>
                    <a:blip r:embed="rId6"/>
                    <a:stretch>
                      <a:fillRect/>
                    </a:stretch>
                  </pic:blipFill>
                  <pic:spPr>
                    <a:xfrm>
                      <a:off x="0" y="0"/>
                      <a:ext cx="434340" cy="334010"/>
                    </a:xfrm>
                    <a:prstGeom prst="rect">
                      <a:avLst/>
                    </a:prstGeom>
                  </pic:spPr>
                </pic:pic>
              </a:graphicData>
            </a:graphic>
          </wp:anchor>
        </w:drawing>
      </w:r>
      <w:r>
        <w:rPr>
          <w:rFonts w:hint="eastAsia"/>
          <w:b/>
          <w:sz w:val="21"/>
          <w:szCs w:val="21"/>
        </w:rPr>
        <w:t>组长签字：</w:t>
      </w:r>
      <w:r>
        <w:rPr>
          <w:rFonts w:hint="eastAsia"/>
          <w:b/>
          <w:sz w:val="21"/>
          <w:szCs w:val="21"/>
          <w:lang w:val="en-US" w:eastAsia="zh-CN"/>
        </w:rPr>
        <w:t xml:space="preserve">                                 2021.8.8</w:t>
      </w:r>
      <w:bookmarkStart w:id="26" w:name="_GoBack"/>
      <w:bookmarkEnd w:id="26"/>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2049"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2050"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052BE"/>
    <w:multiLevelType w:val="singleLevel"/>
    <w:tmpl w:val="C6D052BE"/>
    <w:lvl w:ilvl="0" w:tentative="0">
      <w:start w:val="2"/>
      <w:numFmt w:val="decimal"/>
      <w:lvlText w:val="%1."/>
      <w:lvlJc w:val="left"/>
      <w:pPr>
        <w:tabs>
          <w:tab w:val="left" w:pos="312"/>
        </w:tabs>
      </w:pPr>
    </w:lvl>
  </w:abstractNum>
  <w:abstractNum w:abstractNumId="1">
    <w:nsid w:val="25A44EAE"/>
    <w:multiLevelType w:val="multilevel"/>
    <w:tmpl w:val="25A44EAE"/>
    <w:lvl w:ilvl="0" w:tentative="0">
      <w:start w:val="1"/>
      <w:numFmt w:val="decimal"/>
      <w:lvlText w:val="%1."/>
      <w:lvlJc w:val="left"/>
      <w:pPr>
        <w:tabs>
          <w:tab w:val="left" w:pos="855"/>
        </w:tabs>
        <w:ind w:left="855" w:hanging="405"/>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3">
    <w:nsid w:val="74B7CC36"/>
    <w:multiLevelType w:val="singleLevel"/>
    <w:tmpl w:val="74B7CC36"/>
    <w:lvl w:ilvl="0" w:tentative="0">
      <w:start w:val="2"/>
      <w:numFmt w:val="decimal"/>
      <w:lvlText w:val="%1."/>
      <w:lvlJc w:val="left"/>
      <w:pPr>
        <w:tabs>
          <w:tab w:val="left" w:pos="312"/>
        </w:tabs>
      </w:pPr>
    </w:lvl>
  </w:abstractNum>
  <w:abstractNum w:abstractNumId="4">
    <w:nsid w:val="758CE6D1"/>
    <w:multiLevelType w:val="singleLevel"/>
    <w:tmpl w:val="758CE6D1"/>
    <w:lvl w:ilvl="0" w:tentative="0">
      <w:start w:val="2"/>
      <w:numFmt w:val="decimal"/>
      <w:suff w:val="nothing"/>
      <w:lvlText w:val="%1、"/>
      <w:lvlJc w:val="left"/>
    </w:lvl>
  </w:abstractNum>
  <w:abstractNum w:abstractNumId="5">
    <w:nsid w:val="7D7B5227"/>
    <w:multiLevelType w:val="singleLevel"/>
    <w:tmpl w:val="7D7B5227"/>
    <w:lvl w:ilvl="0" w:tentative="0">
      <w:start w:val="3"/>
      <w:numFmt w:val="decimal"/>
      <w:lvlText w:val="%1."/>
      <w:lvlJc w:val="left"/>
      <w:pPr>
        <w:tabs>
          <w:tab w:val="left" w:pos="312"/>
        </w:tabs>
      </w:pPr>
    </w:lvl>
  </w:abstractNum>
  <w:num w:numId="1">
    <w:abstractNumId w:val="4"/>
  </w:num>
  <w:num w:numId="2">
    <w:abstractNumId w:val="5"/>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F2571BA"/>
    <w:rsid w:val="29134A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2"/>
    <w:basedOn w:val="1"/>
    <w:next w:val="3"/>
    <w:qFormat/>
    <w:locked/>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left="480"/>
      <w:textAlignment w:val="baseline"/>
    </w:pPr>
    <w:rPr>
      <w:kern w:val="0"/>
    </w:rPr>
  </w:style>
  <w:style w:type="paragraph" w:styleId="4">
    <w:name w:val="Balloon Text"/>
    <w:basedOn w:val="1"/>
    <w:link w:val="10"/>
    <w:semiHidden/>
    <w:qFormat/>
    <w:uiPriority w:val="99"/>
    <w:rPr>
      <w:sz w:val="18"/>
      <w:szCs w:val="18"/>
    </w:rPr>
  </w:style>
  <w:style w:type="paragraph" w:styleId="5">
    <w:name w:val="footer"/>
    <w:basedOn w:val="1"/>
    <w:link w:val="11"/>
    <w:semiHidden/>
    <w:qFormat/>
    <w:uiPriority w:val="99"/>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批注框文本 Char"/>
    <w:link w:val="4"/>
    <w:semiHidden/>
    <w:qFormat/>
    <w:locked/>
    <w:uiPriority w:val="99"/>
    <w:rPr>
      <w:rFonts w:ascii="Times New Roman" w:hAnsi="Times New Roman" w:eastAsia="宋体" w:cs="Times New Roman"/>
      <w:sz w:val="18"/>
      <w:szCs w:val="18"/>
    </w:rPr>
  </w:style>
  <w:style w:type="character" w:customStyle="1" w:styleId="11">
    <w:name w:val="页脚 Char"/>
    <w:link w:val="5"/>
    <w:semiHidden/>
    <w:qFormat/>
    <w:locked/>
    <w:uiPriority w:val="99"/>
    <w:rPr>
      <w:rFonts w:ascii="Times New Roman" w:hAnsi="Times New Roman" w:eastAsia="宋体" w:cs="Times New Roman"/>
      <w:sz w:val="18"/>
      <w:szCs w:val="18"/>
    </w:rPr>
  </w:style>
  <w:style w:type="character" w:customStyle="1" w:styleId="12">
    <w:name w:val="页眉 Char"/>
    <w:link w:val="6"/>
    <w:qFormat/>
    <w:locked/>
    <w:uiPriority w:val="0"/>
    <w:rPr>
      <w:sz w:val="18"/>
    </w:rPr>
  </w:style>
  <w:style w:type="character" w:customStyle="1" w:styleId="13">
    <w:name w:val="页眉 Char1"/>
    <w:semiHidden/>
    <w:qFormat/>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1</TotalTime>
  <ScaleCrop>false</ScaleCrop>
  <LinksUpToDate>false</LinksUpToDate>
  <CharactersWithSpaces>4294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LIL</cp:lastModifiedBy>
  <cp:lastPrinted>2019-04-18T08:15:00Z</cp:lastPrinted>
  <dcterms:modified xsi:type="dcterms:W3CDTF">2021-08-29T03:41:59Z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E56CE04507F64779978FE639354EE15F</vt:lpwstr>
  </property>
</Properties>
</file>