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市场部</w:t>
      </w:r>
      <w:r>
        <w:rPr>
          <w:rFonts w:hint="eastAsia"/>
          <w:sz w:val="24"/>
          <w:szCs w:val="24"/>
          <w:lang w:val="en-US" w:eastAsia="zh-CN"/>
        </w:rPr>
        <w:t xml:space="preserve"> 、生产部 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彭雪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审核员：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杨珍全、余家龙、宋明珠、宋冬梅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6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文平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余家龙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环境管理体系审核）、宋明珠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环境管理体系审核）、宋冬梅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四川永跃服装有限公司，2013年10月10日成立，经营范围包括生产、销售：服装、鞋帽、床上用品等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，产品自销售以来得到用户一致好评。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现有员工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人，目前经营情况良好。</w:t>
            </w:r>
          </w:p>
          <w:p>
            <w:pPr>
              <w:pStyle w:val="12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/>
                <w:szCs w:val="21"/>
                <w:lang w:eastAsia="zh-CN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四川省绵竹市孝德镇高兴村9组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制式服装的生产及销售。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制式服装的生产及销售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bookmarkEnd w:id="1"/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OMS: </w:t>
            </w:r>
            <w:r>
              <w:rPr>
                <w:sz w:val="20"/>
              </w:rPr>
              <w:t>制式服装的生产及销售所涉及场所的相关健康安全管理活动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询问，主要设备为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锁眼机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订扣机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缝纫机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4针机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锁边机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粘合机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电剪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，办公设备：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用品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/需确认过程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/>
                <w:szCs w:val="21"/>
                <w:lang w:eastAsia="zh-CN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质量方针：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质量第一    精益求精    顾客至上    持续改进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环境方针： 全员参与　　遵守法规　　预防为主　　持续改进。</w:t>
            </w:r>
          </w:p>
          <w:p>
            <w:pPr>
              <w:spacing w:line="276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职业健康安全管理方针：安全第一    预防为主    遵守法规    确保安康</w:t>
            </w: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质量、环境、职业健康安全目标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1)</w:t>
            </w:r>
            <w:r>
              <w:rPr>
                <w:rFonts w:hint="eastAsia"/>
              </w:rPr>
              <w:t>产品交付合格率≥100%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2)</w:t>
            </w:r>
            <w:r>
              <w:rPr>
                <w:rFonts w:hint="eastAsia"/>
              </w:rPr>
              <w:t>合同按时完成率≥100%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3)</w:t>
            </w:r>
            <w:r>
              <w:rPr>
                <w:rFonts w:hint="eastAsia"/>
              </w:rPr>
              <w:t xml:space="preserve">顾客满意率≥96分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4)</w:t>
            </w:r>
            <w:r>
              <w:rPr>
                <w:rFonts w:hint="eastAsia"/>
              </w:rPr>
              <w:t>办公、生活废弃物分类收集处理率100%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5)</w:t>
            </w:r>
            <w:r>
              <w:rPr>
                <w:rFonts w:hint="eastAsia"/>
              </w:rPr>
              <w:t>火灾发生为0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6)</w:t>
            </w:r>
            <w:r>
              <w:rPr>
                <w:rFonts w:hint="eastAsia"/>
              </w:rPr>
              <w:t>重大安全事故和伤亡事故为0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7）职业病发生率为0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br w:type="page"/>
      </w:r>
    </w:p>
    <w:tbl>
      <w:tblPr>
        <w:tblStyle w:val="6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文平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余家龙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环境管理体系审核）、宋明珠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环境管理体系审核）、陈伟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/>
                <w:szCs w:val="21"/>
                <w:highlight w:val="none"/>
              </w:rPr>
              <w:t>：20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彭雪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</w:t>
            </w:r>
            <w:r>
              <w:rPr>
                <w:rFonts w:hint="eastAsia" w:ascii="宋体" w:hAnsi="宋体" w:eastAsia="宋体" w:cs="Times New Roman"/>
                <w:szCs w:val="21"/>
              </w:rPr>
              <w:t>涉及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szCs w:val="21"/>
              </w:rPr>
              <w:t>GB/T19001-2016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eastAsia="宋体" w:cs="Times New Roman"/>
              </w:rPr>
              <w:t>未及时更新法律法规清单</w:t>
            </w:r>
            <w:r>
              <w:rPr>
                <w:rFonts w:hint="eastAsia" w:ascii="宋体" w:hAnsi="宋体" w:eastAsia="宋体" w:cs="Times New Roman"/>
                <w:szCs w:val="21"/>
              </w:rPr>
              <w:t>”及时进行统计和分析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尹怀荣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1、公司今后加强对采购物品的控制，从源头控制开始严格控制供应商，保证所有供应商经过评价，评价合格的基础上才予以采购；对所进的所有货品都进行检验，并注意保留相关记录。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2、行政部对文件发放要加强控制。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中华人民共和国环境保护法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固体废物污染环境防治法等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衬衫GB/T 2660-2017；男西服、大衣GB/T 2664-2017；女西服、大衣GB/T 2665-2017；西裤GB/T 2666-2017；羽绒服装GB/T 14272-2011；针织学生服GB/T 22854-2009；人造毛皮服装FZ/T 81009-2014；防护服装 防静电服GB/T12014-2019；中小学生校服GB/T31888-2015。</w:t>
            </w:r>
          </w:p>
          <w:p>
            <w:pPr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无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无    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red"/>
                <w:lang w:val="en-US" w:eastAsia="zh-CN"/>
              </w:rPr>
              <w:t>有</w:t>
            </w:r>
            <w:r>
              <w:rPr>
                <w:rFonts w:hint="eastAsia"/>
                <w:szCs w:val="21"/>
                <w:highlight w:val="red"/>
              </w:rPr>
              <w:t>质量监督抽查</w:t>
            </w:r>
            <w:r>
              <w:rPr>
                <w:rFonts w:hint="eastAsia"/>
                <w:szCs w:val="21"/>
                <w:highlight w:val="red"/>
                <w:lang w:eastAsia="zh-CN"/>
              </w:rPr>
              <w:t>，</w:t>
            </w:r>
            <w:r>
              <w:rPr>
                <w:rFonts w:hint="eastAsia"/>
                <w:szCs w:val="21"/>
                <w:highlight w:val="red"/>
                <w:lang w:val="en-US" w:eastAsia="zh-CN"/>
              </w:rPr>
              <w:t>有木质门（免漆）和木质门</w:t>
            </w:r>
            <w:bookmarkStart w:id="2" w:name="_GoBack"/>
            <w:bookmarkEnd w:id="2"/>
            <w:r>
              <w:rPr>
                <w:rFonts w:hint="eastAsia"/>
                <w:szCs w:val="21"/>
                <w:highlight w:val="red"/>
                <w:lang w:val="en-US" w:eastAsia="zh-CN"/>
              </w:rPr>
              <w:t>（复合门）市级定期监督抽查报告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服装生产加工工艺流程：制版—剪裁—粘合—缝制—定型—包装—入库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8.3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固体废弃物、潜在火灾等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公司拟定有《火灾应急预案》，20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日进行了消防演习演习。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不适用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与任务书一致</w:t>
            </w:r>
          </w:p>
          <w:p>
            <w:pPr>
              <w:pStyle w:val="2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操作工、检验员</w:t>
            </w:r>
          </w:p>
          <w:p>
            <w:pPr>
              <w:pStyle w:val="2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锁眼机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订扣机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缝纫机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4针机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锁边机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粘合机</w:t>
            </w:r>
            <w:r>
              <w:rPr>
                <w:rFonts w:hint="eastAsia" w:ascii="宋体" w:hAnsi="宋体" w:cs="宋体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电剪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库房</w:t>
            </w:r>
            <w:r>
              <w:rPr>
                <w:rFonts w:hint="eastAsia"/>
                <w:highlight w:val="none"/>
                <w:lang w:val="en-US" w:eastAsia="zh-CN"/>
              </w:rPr>
              <w:t>面积100平方</w:t>
            </w:r>
          </w:p>
          <w:p>
            <w:pPr>
              <w:spacing w:line="400" w:lineRule="exact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锅炉1台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（0.75MP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a）提供的锅炉外检报告和水质检验报告已过期，未按期检验，不符合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消防栓、灭火器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中央吸尘器、水帘式漆雾净化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机。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直尺</w:t>
            </w:r>
            <w:r>
              <w:rPr>
                <w:rFonts w:hint="eastAsia"/>
                <w:highlight w:val="none"/>
              </w:rPr>
              <w:t>等</w:t>
            </w:r>
          </w:p>
          <w:p>
            <w:pPr>
              <w:pStyle w:val="13"/>
              <w:rPr>
                <w:rFonts w:hint="eastAsia"/>
                <w:sz w:val="21"/>
                <w:szCs w:val="21"/>
              </w:rPr>
            </w:pPr>
          </w:p>
          <w:p>
            <w:pPr>
              <w:pStyle w:val="13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Q7.1.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color w:val="FF0000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在郊区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二阶段质量管理体系宜重点关注（合同评审、采购控制、生产过程等）</w:t>
            </w:r>
          </w:p>
          <w:p>
            <w:pPr>
              <w:adjustRightInd w:val="0"/>
              <w:snapToGrid w:val="0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重点审核部门：市场部、生产部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重点审核过程：原料检验，过程检验，成品检验，特殊过程控制，产品销售和服务提供控制，顾客满意，产品和服务放行，不合格产品控制等。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重点审核场所：办公场所、生产区域。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>
      <w:pPr>
        <w:pStyle w:val="4"/>
      </w:pP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D721D2"/>
    <w:rsid w:val="5EC45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2021-08-21T01:01:34Z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E0C627ADC16B42929A8B1D7BC7F1CF8D</vt:lpwstr>
  </property>
</Properties>
</file>