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福建省华增鞋业科技有限公司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汪桂丽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强兴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E:29.05.06</w:t>
            </w:r>
          </w:p>
          <w:p>
            <w:pPr>
              <w:spacing w:line="240" w:lineRule="exact"/>
              <w:jc w:val="center"/>
              <w:rPr>
                <w:b/>
                <w:color w:val="000000" w:themeColor="text1"/>
                <w:sz w:val="20"/>
                <w:szCs w:val="20"/>
              </w:rPr>
            </w:pPr>
            <w:r>
              <w:rPr>
                <w:b/>
                <w:color w:val="000000" w:themeColor="text1"/>
                <w:sz w:val="20"/>
                <w:szCs w:val="20"/>
              </w:rPr>
              <w:t>O:29.05.06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sz w:val="20"/>
              </w:rPr>
              <w:t>■</w:t>
            </w:r>
            <w:r>
              <w:rPr>
                <w:rFonts w:ascii="宋体" w:cs="宋体" w:hAnsiTheme="minorHAnsi"/>
                <w:color w:val="000000" w:themeColor="text1"/>
                <w:kern w:val="0"/>
                <w:sz w:val="20"/>
                <w:szCs w:val="20"/>
              </w:rPr>
              <w:t>EMS/</w:t>
            </w:r>
            <w:r>
              <w:rPr>
                <w:rFonts w:hint="eastAsia"/>
                <w:sz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福建省华增鞋业科技有限公司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福建省泉州市晋江市西滨镇思进村拥军路12号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362221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004" w:firstLineChars="500"/>
              <w:rPr>
                <w:rFonts w:ascii="宋体" w:hAnsi="宋体"/>
                <w:b/>
                <w:color w:val="000000" w:themeColor="text1"/>
                <w:sz w:val="20"/>
                <w:szCs w:val="20"/>
              </w:rPr>
            </w:pPr>
            <w:bookmarkStart w:id="9" w:name="办公地址"/>
            <w:r>
              <w:rPr>
                <w:rFonts w:ascii="宋体" w:hAnsi="宋体"/>
                <w:b/>
                <w:color w:val="000000" w:themeColor="text1"/>
                <w:sz w:val="20"/>
                <w:szCs w:val="20"/>
              </w:rPr>
              <w:t>福建省泉州市晋江市西滨镇思进村拥军路12号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362221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邓爱民</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18876398881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倪小强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邓爱民</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E：休闲运动鞋的销售所涉及场所的相关环境管理活动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O：休闲运动鞋的销售所涉及场所的相关职业健康安全管理活动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E：29.05.06</w:t>
            </w:r>
          </w:p>
          <w:p>
            <w:pPr>
              <w:spacing w:line="320" w:lineRule="exact"/>
              <w:rPr>
                <w:rFonts w:ascii="宋体" w:hAnsi="宋体"/>
                <w:b/>
                <w:color w:val="000000" w:themeColor="text1"/>
                <w:sz w:val="20"/>
                <w:szCs w:val="20"/>
              </w:rPr>
            </w:pPr>
            <w:r>
              <w:rPr>
                <w:rFonts w:ascii="宋体" w:hAnsi="宋体"/>
                <w:b/>
                <w:color w:val="000000" w:themeColor="text1"/>
                <w:sz w:val="20"/>
                <w:szCs w:val="20"/>
              </w:rPr>
              <w:t>O：29.05.06</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b/>
                <w:color w:val="000000" w:themeColor="text1"/>
                <w:sz w:val="20"/>
                <w:szCs w:val="20"/>
              </w:rPr>
            </w:pPr>
            <w:r>
              <w:rPr>
                <w:rFonts w:ascii="宋体" w:hAnsi="宋体"/>
                <w:b/>
                <w:color w:val="000000" w:themeColor="text1"/>
                <w:sz w:val="20"/>
                <w:szCs w:val="20"/>
              </w:rPr>
              <w:t>福建省泉州市晋江市西滨镇思进村拥军路12号</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pStyle w:val="8"/>
        <w:spacing w:line="360" w:lineRule="auto"/>
        <w:ind w:left="-158" w:hanging="550"/>
        <w:rPr>
          <w:rFonts w:ascii="宋体" w:hAnsi="宋体"/>
          <w:b/>
          <w:color w:val="000000" w:themeColor="text1"/>
          <w:spacing w:val="-4"/>
          <w:sz w:val="16"/>
          <w:szCs w:val="16"/>
        </w:rPr>
      </w:pPr>
      <w:r>
        <w:rPr>
          <w:rFonts w:ascii="宋体" w:hAnsi="宋体"/>
          <w:b/>
          <w:color w:val="000000" w:themeColor="text1"/>
          <w:spacing w:val="-4"/>
          <w:szCs w:val="21"/>
        </w:rPr>
        <w:t>1. 本次审核活动按审核计划执行（见附件1）。</w:t>
      </w:r>
    </w:p>
    <w:p>
      <w:pPr>
        <w:pStyle w:val="8"/>
        <w:spacing w:line="360" w:lineRule="auto"/>
        <w:ind w:left="-137" w:hanging="571"/>
        <w:rPr>
          <w:rFonts w:ascii="宋体" w:hAnsi="宋体"/>
          <w:b/>
          <w:color w:val="000000" w:themeColor="text1"/>
          <w:szCs w:val="21"/>
        </w:rPr>
      </w:pPr>
      <w:r>
        <w:rPr>
          <w:rFonts w:ascii="宋体" w:hAnsi="宋体"/>
          <w:b/>
          <w:color w:val="000000" w:themeColor="text1"/>
          <w:szCs w:val="21"/>
        </w:rPr>
        <w:t>2.已审核总部的部门、职能或过程：</w:t>
      </w:r>
    </w:p>
    <w:tbl>
      <w:tblPr>
        <w:tblStyle w:val="10"/>
        <w:tblW w:w="9922"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8"/>
              <w:widowControl w:val="0"/>
              <w:spacing w:before="0" w:after="0"/>
              <w:jc w:val="center"/>
              <w:rPr>
                <w:rFonts w:ascii="宋体" w:hAnsi="宋体"/>
                <w:b/>
                <w:color w:val="000000" w:themeColor="text1"/>
                <w:spacing w:val="-2"/>
                <w:sz w:val="20"/>
                <w:szCs w:val="20"/>
              </w:rPr>
            </w:pPr>
            <w:r>
              <w:rPr>
                <w:rFonts w:ascii="宋体" w:hAnsi="宋体" w:cs="Times New Roman"/>
                <w:b/>
                <w:color w:val="000000" w:themeColor="text1"/>
                <w:sz w:val="20"/>
                <w:szCs w:val="20"/>
                <w:lang w:val="en-US" w:eastAsia="zh-CN" w:bidi="ar-SA"/>
              </w:rPr>
              <w:t>部门</w:t>
            </w:r>
            <w:r>
              <w:rPr>
                <w:rFonts w:ascii="宋体" w:hAnsi="宋体" w:eastAsia="宋体" w:cs="Times New Roman"/>
                <w:b/>
                <w:color w:val="000000" w:themeColor="text1"/>
                <w:spacing w:val="-2"/>
                <w:sz w:val="20"/>
                <w:szCs w:val="20"/>
                <w:lang w:val="en-US" w:eastAsia="zh-CN" w:bidi="ar-SA"/>
              </w:rPr>
              <w:t>:</w:t>
            </w:r>
          </w:p>
        </w:tc>
        <w:tc>
          <w:tcPr>
            <w:tcW w:w="6804" w:type="dxa"/>
          </w:tcPr>
          <w:p>
            <w:pPr>
              <w:pStyle w:val="8"/>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职能或过程</w:t>
            </w:r>
            <w:r>
              <w:rPr>
                <w:rFonts w:ascii="宋体" w:hAnsi="宋体" w:eastAsia="宋体" w:cs="Times New Roman"/>
                <w:b/>
                <w:color w:val="000000" w:themeColor="text1"/>
                <w:spacing w:val="-2"/>
                <w:sz w:val="20"/>
                <w:szCs w:val="20"/>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8"/>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管理层</w:t>
            </w:r>
          </w:p>
        </w:tc>
        <w:tc>
          <w:tcPr>
            <w:tcW w:w="6804" w:type="dxa"/>
          </w:tcPr>
          <w:p>
            <w:pPr>
              <w:pStyle w:val="8"/>
              <w:widowControl w:val="0"/>
              <w:spacing w:before="0" w:after="0"/>
              <w:jc w:val="left"/>
              <w:rPr>
                <w:rFonts w:ascii="宋体" w:hAnsi="宋体"/>
                <w:b/>
                <w:color w:val="000000" w:themeColor="text1"/>
                <w:spacing w:val="-20"/>
                <w:szCs w:val="21"/>
                <w:u w:val="single"/>
              </w:rPr>
            </w:pPr>
            <w:r>
              <w:rPr>
                <w:rFonts w:ascii="宋体" w:hAnsi="宋体" w:cs="Times New Roman"/>
                <w:color w:val="000000" w:themeColor="text1"/>
                <w:szCs w:val="21"/>
                <w:lang w:val="en-US" w:eastAsia="zh-CN" w:bidi="ar-SA"/>
              </w:rPr>
              <w:t>组织环境、风险和机遇、领导作用、管理评审、资质等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8"/>
              <w:widowControl w:val="0"/>
              <w:spacing w:before="0" w:after="0"/>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bidi="ar-SA"/>
              </w:rPr>
              <w:t>人事行政部</w:t>
            </w:r>
          </w:p>
        </w:tc>
        <w:tc>
          <w:tcPr>
            <w:tcW w:w="6804" w:type="dxa"/>
          </w:tcPr>
          <w:p>
            <w:pPr>
              <w:pStyle w:val="8"/>
              <w:widowControl w:val="0"/>
              <w:spacing w:before="0" w:after="0"/>
              <w:jc w:val="left"/>
              <w:rPr>
                <w:rFonts w:ascii="宋体" w:hAnsi="宋体"/>
                <w:b/>
                <w:color w:val="000000" w:themeColor="text1"/>
                <w:spacing w:val="-20"/>
                <w:szCs w:val="21"/>
                <w:u w:val="single"/>
              </w:rPr>
            </w:pPr>
            <w:r>
              <w:rPr>
                <w:rFonts w:ascii="宋体" w:hAnsi="宋体" w:cs="Times New Roman"/>
                <w:color w:val="000000" w:themeColor="text1"/>
                <w:szCs w:val="21"/>
                <w:lang w:val="en-US" w:eastAsia="zh-CN" w:bidi="ar-SA"/>
              </w:rPr>
              <w:t>文件、记录、培训、内审、法律法规、合规性评价、环境因素、危险源识别及运行控制、应急演练等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8"/>
              <w:widowControl w:val="0"/>
              <w:spacing w:before="0" w:after="0"/>
              <w:jc w:val="center"/>
              <w:rPr>
                <w:rFonts w:ascii="宋体" w:hAnsi="宋体"/>
                <w:b/>
                <w:color w:val="000000" w:themeColor="text1"/>
                <w:sz w:val="20"/>
                <w:szCs w:val="20"/>
              </w:rPr>
            </w:pPr>
            <w:r>
              <w:rPr>
                <w:rFonts w:hint="eastAsia" w:ascii="宋体" w:hAnsi="宋体" w:cs="Times New Roman"/>
                <w:b/>
                <w:color w:val="000000" w:themeColor="text1"/>
                <w:sz w:val="20"/>
                <w:szCs w:val="20"/>
                <w:lang w:val="en-US" w:eastAsia="zh-CN" w:bidi="ar-SA"/>
              </w:rPr>
              <w:t>业务</w:t>
            </w:r>
            <w:r>
              <w:rPr>
                <w:rFonts w:ascii="宋体" w:hAnsi="宋体" w:cs="Times New Roman"/>
                <w:b/>
                <w:color w:val="000000" w:themeColor="text1"/>
                <w:sz w:val="20"/>
                <w:szCs w:val="20"/>
                <w:lang w:val="en-US" w:eastAsia="zh-CN" w:bidi="ar-SA"/>
              </w:rPr>
              <w:t>部</w:t>
            </w:r>
          </w:p>
        </w:tc>
        <w:tc>
          <w:tcPr>
            <w:tcW w:w="6804" w:type="dxa"/>
          </w:tcPr>
          <w:p>
            <w:pPr>
              <w:pStyle w:val="8"/>
              <w:widowControl w:val="0"/>
              <w:spacing w:before="0" w:after="0"/>
              <w:jc w:val="left"/>
              <w:rPr>
                <w:rFonts w:ascii="宋体" w:hAnsi="宋体"/>
                <w:b/>
                <w:color w:val="000000" w:themeColor="text1"/>
                <w:spacing w:val="-20"/>
                <w:szCs w:val="21"/>
                <w:u w:val="single"/>
              </w:rPr>
            </w:pPr>
            <w:r>
              <w:rPr>
                <w:rFonts w:ascii="宋体" w:hAnsi="宋体" w:cs="Times New Roman"/>
                <w:color w:val="000000" w:themeColor="text1"/>
                <w:szCs w:val="21"/>
                <w:lang w:val="en-US" w:eastAsia="zh-CN" w:bidi="ar-SA"/>
              </w:rPr>
              <w:t>采购过程</w:t>
            </w:r>
            <w:r>
              <w:rPr>
                <w:rFonts w:hint="eastAsia" w:ascii="宋体" w:hAnsi="宋体" w:cs="Times New Roman"/>
                <w:color w:val="000000" w:themeColor="text1"/>
                <w:szCs w:val="21"/>
                <w:lang w:val="en-US" w:eastAsia="zh-CN" w:bidi="ar-SA"/>
              </w:rPr>
              <w:t>、</w:t>
            </w:r>
            <w:r>
              <w:rPr>
                <w:rFonts w:ascii="宋体" w:hAnsi="宋体" w:cs="Times New Roman"/>
                <w:color w:val="000000" w:themeColor="text1"/>
                <w:szCs w:val="21"/>
                <w:lang w:val="en-US" w:eastAsia="zh-CN" w:bidi="ar-SA"/>
              </w:rPr>
              <w:t>销售过程、相关方施加影响、环境因素、危险源识别及运行控制</w:t>
            </w:r>
            <w:r>
              <w:rPr>
                <w:rFonts w:hint="eastAsia" w:ascii="宋体" w:hAnsi="宋体" w:cs="Times New Roman"/>
                <w:color w:val="000000" w:themeColor="text1"/>
                <w:szCs w:val="21"/>
                <w:lang w:val="en-US" w:eastAsia="zh-CN" w:bidi="ar-SA"/>
              </w:rPr>
              <w:t>、</w:t>
            </w:r>
            <w:r>
              <w:rPr>
                <w:rFonts w:ascii="宋体" w:hAnsi="宋体" w:cs="Times New Roman"/>
                <w:color w:val="000000" w:themeColor="text1"/>
                <w:szCs w:val="21"/>
                <w:lang w:val="en-US" w:eastAsia="zh-CN" w:bidi="ar-SA"/>
              </w:rPr>
              <w:t>顾客满意度、服务控制、产品和服务放行、不合格品控制、不合格</w:t>
            </w:r>
            <w:r>
              <w:rPr>
                <w:rFonts w:ascii="宋体" w:hAnsi="宋体" w:eastAsia="宋体" w:cs="Times New Roman"/>
                <w:color w:val="000000" w:themeColor="text1"/>
                <w:szCs w:val="21"/>
                <w:lang w:val="en-US" w:eastAsia="zh-CN" w:bidi="ar-SA"/>
              </w:rPr>
              <w:t>/</w:t>
            </w:r>
            <w:r>
              <w:rPr>
                <w:rFonts w:ascii="宋体" w:hAnsi="宋体" w:cs="Times New Roman"/>
                <w:color w:val="000000" w:themeColor="text1"/>
                <w:szCs w:val="21"/>
                <w:lang w:val="en-US" w:eastAsia="zh-CN" w:bidi="ar-SA"/>
              </w:rPr>
              <w:t>事件和纠正措施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8"/>
              <w:widowControl w:val="0"/>
              <w:spacing w:before="0" w:after="0"/>
              <w:rPr>
                <w:rFonts w:ascii="宋体" w:hAnsi="宋体"/>
                <w:b/>
                <w:color w:val="000000" w:themeColor="text1"/>
                <w:szCs w:val="21"/>
              </w:rPr>
            </w:pPr>
          </w:p>
        </w:tc>
        <w:tc>
          <w:tcPr>
            <w:tcW w:w="6804" w:type="dxa"/>
          </w:tcPr>
          <w:p>
            <w:pPr>
              <w:pStyle w:val="8"/>
              <w:widowControl w:val="0"/>
              <w:spacing w:before="0" w:after="0"/>
              <w:rPr>
                <w:rFonts w:ascii="宋体" w:hAnsi="宋体"/>
                <w:b/>
                <w:color w:val="000000" w:themeColor="text1"/>
                <w:spacing w:val="-20"/>
                <w:szCs w:val="21"/>
                <w:u w:val="single"/>
              </w:rPr>
            </w:pPr>
          </w:p>
        </w:tc>
      </w:tr>
    </w:tbl>
    <w:p>
      <w:pPr>
        <w:pStyle w:val="8"/>
        <w:ind w:left="-137" w:hanging="571"/>
        <w:rPr>
          <w:rFonts w:ascii="宋体" w:hAnsi="宋体"/>
          <w:b/>
          <w:color w:val="000000" w:themeColor="text1"/>
          <w:szCs w:val="21"/>
        </w:rPr>
      </w:pPr>
      <w:r>
        <w:rPr>
          <w:b/>
          <w:color w:val="000000" w:themeColor="text1"/>
          <w:szCs w:val="21"/>
        </w:rPr>
        <w:t xml:space="preserve">3. </w:t>
      </w:r>
      <w:r>
        <w:rPr>
          <w:rFonts w:ascii="宋体" w:hAnsi="宋体"/>
          <w:b/>
          <w:color w:val="000000" w:themeColor="text1"/>
          <w:szCs w:val="21"/>
        </w:rPr>
        <w:t>已审核的分场所（分中心、分部或不在一起的部门）、临时/流动场所信息</w:t>
      </w:r>
    </w:p>
    <w:p>
      <w:pPr>
        <w:pStyle w:val="8"/>
        <w:ind w:left="-273" w:hanging="435"/>
        <w:rPr>
          <w:b/>
          <w:color w:val="000000" w:themeColor="text1"/>
          <w:sz w:val="16"/>
          <w:szCs w:val="16"/>
        </w:rPr>
      </w:pPr>
    </w:p>
    <w:tbl>
      <w:tblPr>
        <w:tblStyle w:val="10"/>
        <w:tblW w:w="9923"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3249"/>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8" w:type="dxa"/>
          </w:tcPr>
          <w:p>
            <w:pPr>
              <w:pStyle w:val="8"/>
              <w:widowControl w:val="0"/>
              <w:spacing w:before="0" w:after="0"/>
              <w:jc w:val="center"/>
              <w:rPr>
                <w:rFonts w:ascii="宋体" w:hAnsi="宋体"/>
                <w:b/>
                <w:color w:val="000000" w:themeColor="text1"/>
                <w:spacing w:val="-2"/>
                <w:sz w:val="20"/>
                <w:szCs w:val="20"/>
              </w:rPr>
            </w:pPr>
            <w:r>
              <w:rPr>
                <w:rFonts w:ascii="宋体" w:hAnsi="宋体" w:cs="Times New Roman"/>
                <w:b/>
                <w:color w:val="000000" w:themeColor="text1"/>
                <w:spacing w:val="-2"/>
                <w:sz w:val="20"/>
                <w:szCs w:val="20"/>
                <w:lang w:val="en-US" w:eastAsia="zh-CN" w:bidi="ar-SA"/>
              </w:rPr>
              <w:t>分场所名称</w:t>
            </w:r>
          </w:p>
        </w:tc>
        <w:tc>
          <w:tcPr>
            <w:tcW w:w="3249" w:type="dxa"/>
          </w:tcPr>
          <w:p>
            <w:pPr>
              <w:pStyle w:val="8"/>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职能或过程</w:t>
            </w:r>
            <w:r>
              <w:rPr>
                <w:rFonts w:ascii="宋体" w:hAnsi="宋体" w:eastAsia="宋体" w:cs="Times New Roman"/>
                <w:b/>
                <w:color w:val="000000" w:themeColor="text1"/>
                <w:spacing w:val="-2"/>
                <w:sz w:val="20"/>
                <w:szCs w:val="20"/>
                <w:lang w:val="en-US" w:eastAsia="zh-CN" w:bidi="ar-SA"/>
              </w:rPr>
              <w:t>:</w:t>
            </w:r>
          </w:p>
        </w:tc>
        <w:tc>
          <w:tcPr>
            <w:tcW w:w="3556" w:type="dxa"/>
          </w:tcPr>
          <w:p>
            <w:pPr>
              <w:pStyle w:val="8"/>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8"/>
              <w:widowControl w:val="0"/>
              <w:spacing w:before="0" w:after="0"/>
              <w:jc w:val="center"/>
              <w:rPr>
                <w:rFonts w:ascii="宋体" w:hAnsi="宋体"/>
                <w:b/>
                <w:color w:val="000000" w:themeColor="text1"/>
                <w:sz w:val="20"/>
                <w:szCs w:val="20"/>
              </w:rPr>
            </w:pPr>
            <w:r>
              <w:rPr>
                <w:rFonts w:ascii="宋体" w:hAnsi="宋体" w:cs="Times New Roman"/>
                <w:b/>
                <w:color w:val="000000" w:themeColor="text1"/>
                <w:sz w:val="20"/>
                <w:szCs w:val="20"/>
                <w:lang w:val="en-US" w:eastAsia="zh-CN" w:bidi="ar-SA"/>
              </w:rPr>
              <w:t>无</w:t>
            </w:r>
          </w:p>
        </w:tc>
        <w:tc>
          <w:tcPr>
            <w:tcW w:w="3249" w:type="dxa"/>
          </w:tcPr>
          <w:p>
            <w:pPr>
              <w:pStyle w:val="8"/>
              <w:widowControl w:val="0"/>
              <w:spacing w:before="0" w:after="0"/>
              <w:jc w:val="center"/>
              <w:rPr>
                <w:rFonts w:ascii="宋体" w:hAnsi="宋体"/>
                <w:b/>
                <w:color w:val="000000" w:themeColor="text1"/>
                <w:spacing w:val="-20"/>
                <w:sz w:val="20"/>
                <w:szCs w:val="20"/>
                <w:u w:val="single"/>
              </w:rPr>
            </w:pPr>
          </w:p>
        </w:tc>
        <w:tc>
          <w:tcPr>
            <w:tcW w:w="3556" w:type="dxa"/>
          </w:tcPr>
          <w:p>
            <w:pPr>
              <w:pStyle w:val="8"/>
              <w:widowControl w:val="0"/>
              <w:spacing w:before="0" w:after="0"/>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8"/>
              <w:widowControl w:val="0"/>
              <w:spacing w:before="0" w:after="0"/>
              <w:jc w:val="center"/>
              <w:rPr>
                <w:rFonts w:ascii="宋体" w:hAnsi="宋体"/>
                <w:b/>
                <w:color w:val="000000" w:themeColor="text1"/>
                <w:sz w:val="20"/>
                <w:szCs w:val="20"/>
              </w:rPr>
            </w:pPr>
          </w:p>
        </w:tc>
        <w:tc>
          <w:tcPr>
            <w:tcW w:w="3249" w:type="dxa"/>
          </w:tcPr>
          <w:p>
            <w:pPr>
              <w:pStyle w:val="8"/>
              <w:widowControl w:val="0"/>
              <w:spacing w:before="0" w:after="0"/>
              <w:jc w:val="center"/>
              <w:rPr>
                <w:rFonts w:ascii="宋体" w:hAnsi="宋体"/>
                <w:b/>
                <w:color w:val="000000" w:themeColor="text1"/>
                <w:spacing w:val="-20"/>
                <w:sz w:val="20"/>
                <w:szCs w:val="20"/>
                <w:u w:val="single"/>
              </w:rPr>
            </w:pPr>
          </w:p>
        </w:tc>
        <w:tc>
          <w:tcPr>
            <w:tcW w:w="3556" w:type="dxa"/>
          </w:tcPr>
          <w:p>
            <w:pPr>
              <w:pStyle w:val="8"/>
              <w:widowControl w:val="0"/>
              <w:spacing w:before="0" w:after="0"/>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8" w:type="dxa"/>
          </w:tcPr>
          <w:p>
            <w:pPr>
              <w:pStyle w:val="8"/>
              <w:widowControl w:val="0"/>
              <w:spacing w:before="0" w:after="0"/>
              <w:jc w:val="center"/>
              <w:rPr>
                <w:rFonts w:ascii="宋体" w:hAnsi="宋体"/>
                <w:b/>
                <w:color w:val="000000" w:themeColor="text1"/>
                <w:sz w:val="20"/>
                <w:szCs w:val="20"/>
              </w:rPr>
            </w:pPr>
          </w:p>
        </w:tc>
        <w:tc>
          <w:tcPr>
            <w:tcW w:w="3249" w:type="dxa"/>
          </w:tcPr>
          <w:p>
            <w:pPr>
              <w:pStyle w:val="8"/>
              <w:widowControl w:val="0"/>
              <w:spacing w:before="0" w:after="0"/>
              <w:jc w:val="center"/>
              <w:rPr>
                <w:rFonts w:ascii="宋体" w:hAnsi="宋体"/>
                <w:b/>
                <w:color w:val="000000" w:themeColor="text1"/>
                <w:spacing w:val="-20"/>
                <w:sz w:val="20"/>
                <w:szCs w:val="20"/>
                <w:u w:val="single"/>
              </w:rPr>
            </w:pPr>
          </w:p>
        </w:tc>
        <w:tc>
          <w:tcPr>
            <w:tcW w:w="3556" w:type="dxa"/>
          </w:tcPr>
          <w:p>
            <w:pPr>
              <w:pStyle w:val="8"/>
              <w:widowControl w:val="0"/>
              <w:spacing w:before="0" w:after="0"/>
              <w:jc w:val="center"/>
              <w:rPr>
                <w:rFonts w:ascii="宋体" w:hAnsi="宋体"/>
                <w:b/>
                <w:color w:val="000000" w:themeColor="text1"/>
                <w:spacing w:val="-20"/>
                <w:sz w:val="20"/>
                <w:szCs w:val="20"/>
                <w:u w:val="single"/>
              </w:rPr>
            </w:pPr>
          </w:p>
        </w:tc>
      </w:tr>
    </w:tbl>
    <w:p>
      <w:pPr>
        <w:pStyle w:val="8"/>
        <w:ind w:left="-169" w:hanging="539"/>
        <w:rPr>
          <w:b/>
          <w:color w:val="000000" w:themeColor="text1"/>
          <w:spacing w:val="-6"/>
          <w:szCs w:val="21"/>
        </w:rPr>
      </w:pPr>
      <w:r>
        <w:rPr>
          <w:b/>
          <w:color w:val="000000" w:themeColor="text1"/>
          <w:spacing w:val="-6"/>
          <w:szCs w:val="21"/>
        </w:rPr>
        <w:t>4. 已审核具体的产品/服务/型号/类型/系列和过程（设计/生产┄┄）是</w:t>
      </w:r>
    </w:p>
    <w:p>
      <w:pPr>
        <w:pStyle w:val="8"/>
        <w:ind w:left="-137" w:hanging="571"/>
        <w:rPr>
          <w:b/>
          <w:color w:val="000000" w:themeColor="text1"/>
          <w:szCs w:val="21"/>
          <w:u w:val="single"/>
        </w:rPr>
      </w:pPr>
    </w:p>
    <w:tbl>
      <w:tblPr>
        <w:tblStyle w:val="10"/>
        <w:tblW w:w="10034"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2"/>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8"/>
              <w:widowControl w:val="0"/>
              <w:spacing w:before="0" w:after="0"/>
              <w:rPr>
                <w:b/>
                <w:color w:val="000000" w:themeColor="text1"/>
                <w:sz w:val="20"/>
                <w:szCs w:val="20"/>
              </w:rPr>
            </w:pPr>
            <w:r>
              <w:rPr>
                <w:rFonts w:cs="Times New Roman"/>
                <w:b/>
                <w:color w:val="000000" w:themeColor="text1"/>
                <w:sz w:val="20"/>
                <w:szCs w:val="20"/>
                <w:lang w:val="en-US" w:eastAsia="zh-CN" w:bidi="ar-SA"/>
              </w:rPr>
              <w:t>产品名称</w:t>
            </w:r>
            <w:r>
              <w:rPr>
                <w:rFonts w:eastAsia="宋体" w:cs="Times New Roman"/>
                <w:b/>
                <w:color w:val="000000" w:themeColor="text1"/>
                <w:sz w:val="20"/>
                <w:szCs w:val="20"/>
                <w:lang w:val="en-US" w:eastAsia="zh-CN" w:bidi="ar-SA"/>
              </w:rPr>
              <w:t>/</w:t>
            </w:r>
          </w:p>
          <w:p>
            <w:pPr>
              <w:pStyle w:val="8"/>
              <w:widowControl w:val="0"/>
              <w:spacing w:before="0" w:after="0"/>
              <w:rPr>
                <w:b/>
                <w:color w:val="000000" w:themeColor="text1"/>
                <w:sz w:val="20"/>
                <w:szCs w:val="20"/>
              </w:rPr>
            </w:pPr>
            <w:r>
              <w:rPr>
                <w:rFonts w:cs="Times New Roman"/>
                <w:b/>
                <w:color w:val="000000" w:themeColor="text1"/>
                <w:sz w:val="20"/>
                <w:szCs w:val="20"/>
                <w:lang w:val="en-US" w:eastAsia="zh-CN" w:bidi="ar-SA"/>
              </w:rPr>
              <w:t>服务名称</w:t>
            </w:r>
          </w:p>
        </w:tc>
        <w:tc>
          <w:tcPr>
            <w:tcW w:w="2519" w:type="dxa"/>
          </w:tcPr>
          <w:p>
            <w:pPr>
              <w:pStyle w:val="8"/>
              <w:widowControl w:val="0"/>
              <w:spacing w:before="0" w:after="0"/>
              <w:rPr>
                <w:b/>
                <w:color w:val="000000" w:themeColor="text1"/>
                <w:sz w:val="20"/>
                <w:szCs w:val="20"/>
              </w:rPr>
            </w:pPr>
            <w:r>
              <w:rPr>
                <w:rFonts w:cs="Times New Roman"/>
                <w:b/>
                <w:color w:val="000000" w:themeColor="text1"/>
                <w:sz w:val="20"/>
                <w:szCs w:val="20"/>
                <w:lang w:val="en-US" w:eastAsia="zh-CN" w:bidi="ar-SA"/>
              </w:rPr>
              <w:t>型号</w:t>
            </w:r>
            <w:r>
              <w:rPr>
                <w:rFonts w:eastAsia="宋体" w:cs="Times New Roman"/>
                <w:b/>
                <w:color w:val="000000" w:themeColor="text1"/>
                <w:sz w:val="20"/>
                <w:szCs w:val="20"/>
                <w:lang w:val="en-US" w:eastAsia="zh-CN" w:bidi="ar-SA"/>
              </w:rPr>
              <w:t>/</w:t>
            </w:r>
          </w:p>
          <w:p>
            <w:pPr>
              <w:pStyle w:val="8"/>
              <w:widowControl w:val="0"/>
              <w:spacing w:before="0" w:after="0"/>
              <w:rPr>
                <w:b/>
                <w:color w:val="000000" w:themeColor="text1"/>
                <w:sz w:val="20"/>
                <w:szCs w:val="20"/>
              </w:rPr>
            </w:pPr>
            <w:r>
              <w:rPr>
                <w:rFonts w:cs="Times New Roman"/>
                <w:b/>
                <w:color w:val="000000" w:themeColor="text1"/>
                <w:sz w:val="20"/>
                <w:szCs w:val="20"/>
                <w:lang w:val="en-US" w:eastAsia="zh-CN" w:bidi="ar-SA"/>
              </w:rPr>
              <w:t>服务类型</w:t>
            </w:r>
          </w:p>
        </w:tc>
        <w:tc>
          <w:tcPr>
            <w:tcW w:w="1842" w:type="dxa"/>
          </w:tcPr>
          <w:p>
            <w:pPr>
              <w:pStyle w:val="8"/>
              <w:widowControl w:val="0"/>
              <w:spacing w:before="0" w:after="0"/>
              <w:rPr>
                <w:b/>
                <w:color w:val="000000" w:themeColor="text1"/>
                <w:sz w:val="20"/>
                <w:szCs w:val="20"/>
              </w:rPr>
            </w:pPr>
            <w:r>
              <w:rPr>
                <w:rFonts w:cs="Times New Roman"/>
                <w:b/>
                <w:color w:val="000000" w:themeColor="text1"/>
                <w:sz w:val="20"/>
                <w:szCs w:val="20"/>
                <w:lang w:val="en-US" w:eastAsia="zh-CN" w:bidi="ar-SA"/>
              </w:rPr>
              <w:t>规格</w:t>
            </w:r>
          </w:p>
        </w:tc>
        <w:tc>
          <w:tcPr>
            <w:tcW w:w="3543" w:type="dxa"/>
          </w:tcPr>
          <w:p>
            <w:pPr>
              <w:pStyle w:val="8"/>
              <w:widowControl w:val="0"/>
              <w:spacing w:before="0" w:after="0"/>
              <w:rPr>
                <w:b/>
                <w:color w:val="000000" w:themeColor="text1"/>
                <w:sz w:val="20"/>
                <w:szCs w:val="20"/>
              </w:rPr>
            </w:pPr>
            <w:r>
              <w:rPr>
                <w:rFonts w:cs="Times New Roman"/>
                <w:b/>
                <w:color w:val="000000" w:themeColor="text1"/>
                <w:sz w:val="20"/>
                <w:szCs w:val="20"/>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8"/>
              <w:widowControl w:val="0"/>
              <w:spacing w:before="0" w:after="0"/>
              <w:rPr>
                <w:rFonts w:hint="default" w:eastAsia="宋体"/>
                <w:b/>
                <w:color w:val="000000" w:themeColor="text1"/>
                <w:sz w:val="20"/>
                <w:szCs w:val="20"/>
                <w:lang w:val="en-US" w:eastAsia="zh-CN"/>
              </w:rPr>
            </w:pPr>
            <w:r>
              <w:rPr>
                <w:rFonts w:hint="eastAsia"/>
                <w:b/>
                <w:color w:val="000000" w:themeColor="text1"/>
                <w:sz w:val="20"/>
                <w:szCs w:val="20"/>
                <w:lang w:val="en-US" w:eastAsia="zh-CN"/>
              </w:rPr>
              <w:t>休闲运动鞋的销售</w:t>
            </w:r>
          </w:p>
        </w:tc>
        <w:tc>
          <w:tcPr>
            <w:tcW w:w="2519" w:type="dxa"/>
          </w:tcPr>
          <w:p>
            <w:pPr>
              <w:pStyle w:val="8"/>
              <w:widowControl w:val="0"/>
              <w:spacing w:before="0" w:after="0"/>
              <w:rPr>
                <w:rFonts w:hint="eastAsia" w:eastAsia="宋体"/>
                <w:b/>
                <w:color w:val="000000" w:themeColor="text1"/>
                <w:sz w:val="20"/>
                <w:szCs w:val="20"/>
                <w:lang w:val="en-US" w:eastAsia="zh-CN"/>
              </w:rPr>
            </w:pPr>
            <w:r>
              <w:rPr>
                <w:rFonts w:eastAsia="宋体" w:cs="Times New Roman"/>
                <w:b/>
                <w:color w:val="000000" w:themeColor="text1"/>
                <w:sz w:val="20"/>
                <w:szCs w:val="20"/>
                <w:lang w:val="en-US" w:eastAsia="zh-CN" w:bidi="ar-SA"/>
              </w:rPr>
              <w:t>/</w:t>
            </w:r>
          </w:p>
        </w:tc>
        <w:tc>
          <w:tcPr>
            <w:tcW w:w="1842" w:type="dxa"/>
          </w:tcPr>
          <w:p>
            <w:pPr>
              <w:pStyle w:val="8"/>
              <w:widowControl w:val="0"/>
              <w:spacing w:before="0" w:after="0"/>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pStyle w:val="8"/>
              <w:widowControl w:val="0"/>
              <w:spacing w:before="0" w:after="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《HG/T 5724-2020运动鞋足部保护要求》</w:t>
            </w:r>
          </w:p>
          <w:p>
            <w:pPr>
              <w:pStyle w:val="8"/>
              <w:widowControl w:val="0"/>
              <w:spacing w:before="0" w:after="0"/>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t>T/CSIQ 8004-2018</w:t>
            </w:r>
            <w:r>
              <w:rPr>
                <w:rFonts w:hint="eastAsia" w:asciiTheme="minorEastAsia" w:hAnsiTheme="minorEastAsia" w:eastAsiaTheme="minorEastAsia" w:cstheme="minorEastAsia"/>
                <w:color w:val="auto"/>
                <w:sz w:val="21"/>
                <w:szCs w:val="21"/>
                <w:lang w:val="en-US" w:eastAsia="zh-CN"/>
              </w:rPr>
              <w:t>运动鞋》</w:t>
            </w:r>
          </w:p>
        </w:tc>
      </w:tr>
    </w:tbl>
    <w:p>
      <w:pPr>
        <w:pStyle w:val="8"/>
        <w:spacing w:line="360" w:lineRule="auto"/>
        <w:ind w:left="-137" w:hanging="571"/>
        <w:rPr>
          <w:b/>
          <w:color w:val="000000" w:themeColor="text1"/>
          <w:szCs w:val="21"/>
        </w:rPr>
      </w:pPr>
      <w:r>
        <w:rPr>
          <w:b/>
          <w:color w:val="000000" w:themeColor="text1"/>
          <w:szCs w:val="21"/>
        </w:rPr>
        <w:t>5. 本次审核覆盖时期：</w:t>
      </w:r>
    </w:p>
    <w:p>
      <w:pPr>
        <w:pStyle w:val="8"/>
        <w:spacing w:line="360" w:lineRule="auto"/>
        <w:ind w:left="-191" w:hanging="517"/>
        <w:rPr>
          <w:b/>
          <w:color w:val="000000" w:themeColor="text1"/>
          <w:spacing w:val="-10"/>
          <w:szCs w:val="21"/>
        </w:rPr>
      </w:pPr>
      <w:r>
        <w:rPr>
          <w:rFonts w:ascii="MS Mincho" w:hAnsi="MS Mincho" w:eastAsia="MS Mincho" w:cs="MS Mincho"/>
          <w:b/>
          <w:color w:val="000000" w:themeColor="text1"/>
          <w:spacing w:val="-10"/>
          <w:szCs w:val="21"/>
        </w:rPr>
        <w:t>☑</w:t>
      </w:r>
      <w:r>
        <w:rPr>
          <w:b/>
          <w:color w:val="000000" w:themeColor="text1"/>
          <w:spacing w:val="-10"/>
          <w:szCs w:val="21"/>
        </w:rPr>
        <w:t>体系运行时间</w:t>
      </w:r>
      <w:r>
        <w:rPr>
          <w:b/>
          <w:color w:val="000000" w:themeColor="text1"/>
          <w:spacing w:val="-10"/>
          <w:szCs w:val="21"/>
          <w:u w:val="single"/>
        </w:rPr>
        <w:t xml:space="preserve">   202</w:t>
      </w:r>
      <w:r>
        <w:rPr>
          <w:rFonts w:hint="eastAsia"/>
          <w:b/>
          <w:color w:val="000000" w:themeColor="text1"/>
          <w:spacing w:val="-10"/>
          <w:szCs w:val="21"/>
          <w:u w:val="single"/>
          <w:lang w:val="en-US" w:eastAsia="zh-CN"/>
        </w:rPr>
        <w:t>1</w:t>
      </w:r>
      <w:r>
        <w:rPr>
          <w:b/>
          <w:color w:val="000000" w:themeColor="text1"/>
          <w:spacing w:val="-10"/>
          <w:szCs w:val="21"/>
          <w:u w:val="single"/>
        </w:rPr>
        <w:t xml:space="preserve">  </w:t>
      </w:r>
      <w:r>
        <w:rPr>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lang w:val="en-US" w:eastAsia="zh-CN"/>
        </w:rPr>
        <w:t>4</w:t>
      </w:r>
      <w:r>
        <w:rPr>
          <w:b/>
          <w:color w:val="000000" w:themeColor="text1"/>
          <w:spacing w:val="-10"/>
          <w:szCs w:val="21"/>
          <w:u w:val="single"/>
        </w:rPr>
        <w:t xml:space="preserve"> </w:t>
      </w:r>
      <w:r>
        <w:rPr>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lang w:val="en-US" w:eastAsia="zh-CN"/>
        </w:rPr>
        <w:t>1</w:t>
      </w:r>
      <w:r>
        <w:rPr>
          <w:b/>
          <w:color w:val="000000" w:themeColor="text1"/>
          <w:spacing w:val="-10"/>
          <w:szCs w:val="21"/>
          <w:u w:val="single"/>
        </w:rPr>
        <w:t xml:space="preserve">  </w:t>
      </w:r>
      <w:r>
        <w:rPr>
          <w:b/>
          <w:color w:val="000000" w:themeColor="text1"/>
          <w:spacing w:val="-10"/>
          <w:szCs w:val="21"/>
        </w:rPr>
        <w:t>日</w:t>
      </w:r>
      <w:bookmarkEnd w:id="20"/>
      <w:r>
        <w:rPr>
          <w:b/>
          <w:color w:val="000000" w:themeColor="text1"/>
          <w:spacing w:val="-10"/>
          <w:szCs w:val="21"/>
        </w:rPr>
        <w:t>至</w:t>
      </w:r>
      <w:r>
        <w:rPr>
          <w:b/>
          <w:color w:val="000000" w:themeColor="text1"/>
          <w:spacing w:val="-10"/>
          <w:szCs w:val="21"/>
          <w:u w:val="single"/>
        </w:rPr>
        <w:t xml:space="preserve">  2021   </w:t>
      </w:r>
      <w:r>
        <w:rPr>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lang w:val="en-US" w:eastAsia="zh-CN"/>
        </w:rPr>
        <w:t>8</w:t>
      </w:r>
      <w:r>
        <w:rPr>
          <w:b/>
          <w:color w:val="000000" w:themeColor="text1"/>
          <w:spacing w:val="-10"/>
          <w:szCs w:val="21"/>
          <w:u w:val="single"/>
        </w:rPr>
        <w:t xml:space="preserve">  </w:t>
      </w:r>
      <w:r>
        <w:rPr>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lang w:val="en-US" w:eastAsia="zh-CN"/>
        </w:rPr>
        <w:t>3</w:t>
      </w:r>
      <w:r>
        <w:rPr>
          <w:b/>
          <w:color w:val="000000" w:themeColor="text1"/>
          <w:spacing w:val="-10"/>
          <w:szCs w:val="21"/>
          <w:u w:val="single"/>
        </w:rPr>
        <w:t xml:space="preserve">  </w:t>
      </w:r>
      <w:r>
        <w:rPr>
          <w:b/>
          <w:color w:val="000000" w:themeColor="text1"/>
          <w:spacing w:val="-10"/>
          <w:szCs w:val="21"/>
        </w:rPr>
        <w:t>日</w:t>
      </w:r>
      <w:r>
        <w:rPr>
          <w:rFonts w:hint="eastAsia"/>
          <w:b/>
          <w:color w:val="000000" w:themeColor="text1"/>
          <w:spacing w:val="-10"/>
          <w:szCs w:val="21"/>
          <w:lang w:val="en-US" w:eastAsia="zh-CN"/>
        </w:rPr>
        <w:t>上午</w:t>
      </w:r>
      <w:r>
        <w:rPr>
          <w:b/>
          <w:color w:val="000000" w:themeColor="text1"/>
          <w:spacing w:val="-10"/>
          <w:szCs w:val="21"/>
        </w:rPr>
        <w:t>。</w:t>
      </w:r>
    </w:p>
    <w:p>
      <w:pPr>
        <w:pStyle w:val="8"/>
        <w:spacing w:line="360" w:lineRule="auto"/>
        <w:ind w:left="-191" w:hanging="517"/>
        <w:rPr>
          <w:b/>
          <w:color w:val="000000" w:themeColor="text1"/>
          <w:spacing w:val="-10"/>
          <w:szCs w:val="21"/>
          <w:u w:val="single"/>
        </w:rPr>
      </w:pPr>
      <w:r>
        <w:rPr>
          <w:b/>
          <w:color w:val="000000" w:themeColor="text1"/>
          <w:spacing w:val="-10"/>
          <w:szCs w:val="21"/>
        </w:rPr>
        <w:t>□上次审核时间年月日至年月日（再认证填写）</w:t>
      </w:r>
    </w:p>
    <w:p>
      <w:pPr>
        <w:pStyle w:val="8"/>
        <w:spacing w:line="360" w:lineRule="auto"/>
        <w:ind w:left="-191" w:hanging="517"/>
        <w:rPr>
          <w:b/>
          <w:color w:val="000000" w:themeColor="text1"/>
          <w:spacing w:val="-10"/>
          <w:szCs w:val="21"/>
        </w:rPr>
      </w:pPr>
      <w:r>
        <w:rPr>
          <w:b/>
          <w:color w:val="000000" w:themeColor="text1"/>
          <w:spacing w:val="-10"/>
          <w:szCs w:val="21"/>
        </w:rPr>
        <w:t>6. 完成情况说明:</w:t>
      </w:r>
    </w:p>
    <w:p>
      <w:pPr>
        <w:pStyle w:val="8"/>
        <w:spacing w:line="360" w:lineRule="auto"/>
        <w:ind w:left="-191" w:hanging="517"/>
        <w:rPr>
          <w:b/>
          <w:color w:val="000000" w:themeColor="text1"/>
          <w:spacing w:val="-10"/>
          <w:szCs w:val="21"/>
        </w:rPr>
      </w:pPr>
      <w:r>
        <w:rPr>
          <w:rFonts w:ascii="MS Mincho" w:hAnsi="MS Mincho" w:eastAsia="MS Mincho" w:cs="MS Mincho"/>
          <w:b/>
          <w:color w:val="000000" w:themeColor="text1"/>
          <w:spacing w:val="-10"/>
          <w:szCs w:val="21"/>
        </w:rPr>
        <w:t>☑</w:t>
      </w:r>
      <w:r>
        <w:rPr>
          <w:rFonts w:ascii="宋体" w:hAnsi="宋体"/>
          <w:b/>
          <w:color w:val="000000" w:themeColor="text1"/>
          <w:szCs w:val="21"/>
        </w:rPr>
        <w:t>已完成审核计划的全部工作</w:t>
      </w:r>
    </w:p>
    <w:p>
      <w:pPr>
        <w:pStyle w:val="8"/>
        <w:spacing w:line="360" w:lineRule="auto"/>
        <w:ind w:left="-191" w:hanging="517"/>
        <w:rPr>
          <w:b/>
          <w:color w:val="000000" w:themeColor="text1"/>
          <w:spacing w:val="-10"/>
          <w:w w:val="90"/>
          <w:szCs w:val="21"/>
        </w:rPr>
      </w:pPr>
      <w:r>
        <w:rPr>
          <w:b/>
          <w:color w:val="000000" w:themeColor="text1"/>
          <w:spacing w:val="-10"/>
          <w:szCs w:val="21"/>
        </w:rPr>
        <w:t>□</w:t>
      </w:r>
      <w:r>
        <w:rPr>
          <w:rFonts w:ascii="宋体" w:hAnsi="宋体"/>
          <w:b/>
          <w:color w:val="000000" w:themeColor="text1"/>
          <w:szCs w:val="21"/>
        </w:rPr>
        <w:t>计划有修改，但不会影响审核结论，修改的内容和原因是</w:t>
      </w:r>
    </w:p>
    <w:p>
      <w:pPr>
        <w:pStyle w:val="8"/>
        <w:spacing w:line="360" w:lineRule="auto"/>
        <w:ind w:left="-191" w:hanging="517"/>
        <w:rPr>
          <w:b/>
          <w:color w:val="000000" w:themeColor="text1"/>
          <w:spacing w:val="-10"/>
          <w:szCs w:val="21"/>
        </w:rPr>
      </w:pPr>
      <w:r>
        <w:rPr>
          <w:b/>
          <w:color w:val="000000" w:themeColor="text1"/>
          <w:spacing w:val="-10"/>
          <w:szCs w:val="21"/>
        </w:rPr>
        <w:t>□</w:t>
      </w:r>
      <w:r>
        <w:rPr>
          <w:rFonts w:ascii="宋体" w:hAnsi="宋体"/>
          <w:b/>
          <w:color w:val="000000" w:themeColor="text1"/>
          <w:szCs w:val="21"/>
        </w:rPr>
        <w:t>未完成计划，未完成的内容和原因是:</w:t>
      </w:r>
    </w:p>
    <w:p>
      <w:pPr>
        <w:pStyle w:val="8"/>
        <w:spacing w:before="312" w:after="0" w:line="320" w:lineRule="exact"/>
        <w:ind w:left="-1" w:hanging="707"/>
        <w:rPr>
          <w:b/>
          <w:color w:val="000000" w:themeColor="text1"/>
          <w:sz w:val="16"/>
          <w:szCs w:val="16"/>
        </w:rPr>
      </w:pPr>
      <w:r>
        <w:rPr>
          <w:rFonts w:ascii="宋体" w:hAnsi="宋体"/>
          <w:b/>
          <w:color w:val="000000" w:themeColor="text1"/>
          <w:sz w:val="26"/>
          <w:szCs w:val="26"/>
        </w:rPr>
        <w:t>六、审核发现及审核证据说明</w:t>
      </w:r>
    </w:p>
    <w:tbl>
      <w:tblPr>
        <w:tblStyle w:val="9"/>
        <w:tblW w:w="9918" w:type="dxa"/>
        <w:jc w:val="center"/>
        <w:tblLayout w:type="fixed"/>
        <w:tblCellMar>
          <w:top w:w="0" w:type="dxa"/>
          <w:left w:w="108" w:type="dxa"/>
          <w:bottom w:w="0" w:type="dxa"/>
          <w:right w:w="108" w:type="dxa"/>
        </w:tblCellMar>
      </w:tblPr>
      <w:tblGrid>
        <w:gridCol w:w="720"/>
        <w:gridCol w:w="9197"/>
      </w:tblGrid>
      <w:tr>
        <w:tblPrEx>
          <w:tblCellMar>
            <w:top w:w="0" w:type="dxa"/>
            <w:left w:w="108" w:type="dxa"/>
            <w:bottom w:w="0" w:type="dxa"/>
            <w:right w:w="108" w:type="dxa"/>
          </w:tblCellMar>
        </w:tblPrEx>
        <w:trPr>
          <w:cantSplit/>
          <w:trHeight w:val="9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201" w:right="113" w:hanging="201"/>
              <w:jc w:val="center"/>
              <w:rPr>
                <w:rFonts w:ascii="宋体" w:hAnsi="宋体"/>
                <w:b/>
                <w:color w:val="000000" w:themeColor="text1"/>
                <w:sz w:val="20"/>
                <w:szCs w:val="20"/>
              </w:rPr>
            </w:pPr>
            <w:r>
              <w:rPr>
                <w:rFonts w:ascii="宋体" w:hAnsi="宋体"/>
                <w:b/>
                <w:color w:val="000000" w:themeColor="text1"/>
                <w:sz w:val="20"/>
                <w:szCs w:val="20"/>
              </w:rPr>
              <w:t>(一)策划的充分与合理性</w:t>
            </w: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1、组织及其环境的识别情况</w:t>
            </w:r>
          </w:p>
          <w:p>
            <w:pPr>
              <w:pStyle w:val="8"/>
              <w:widowControl w:val="0"/>
              <w:spacing w:line="240" w:lineRule="exact"/>
              <w:rPr>
                <w:rFonts w:ascii="宋体" w:hAnsi="宋体" w:cs="宋体"/>
                <w:color w:val="000000" w:themeColor="text1"/>
                <w:szCs w:val="21"/>
              </w:rPr>
            </w:pPr>
            <w:r>
              <w:rPr>
                <w:rFonts w:ascii="宋体" w:hAnsi="宋体" w:cs="宋体"/>
                <w:color w:val="000000" w:themeColor="text1"/>
                <w:szCs w:val="21"/>
              </w:rPr>
              <w:t>内外部环境、相关方的需求，对政策、法规、经济、行业趋势等信息通过行业协会、社会关系、政府网站等渠道获得，包括客户以及其他相关方的要求进行了识别，任命管理人员1名，负责协调、办公事务等综合管理，提高管理水平，</w:t>
            </w:r>
            <w:r>
              <w:rPr>
                <w:rFonts w:hint="eastAsia" w:ascii="宋体" w:hAnsi="宋体" w:cs="宋体"/>
                <w:color w:val="000000" w:themeColor="text1"/>
                <w:szCs w:val="21"/>
                <w:lang w:val="en-US" w:eastAsia="zh-CN"/>
              </w:rPr>
              <w:t>安全运行、</w:t>
            </w:r>
            <w:r>
              <w:rPr>
                <w:rFonts w:ascii="宋体" w:hAnsi="宋体" w:cs="宋体"/>
                <w:color w:val="000000" w:themeColor="text1"/>
                <w:szCs w:val="21"/>
              </w:rPr>
              <w:t>控制成本。</w:t>
            </w:r>
          </w:p>
          <w:p>
            <w:pPr>
              <w:pStyle w:val="8"/>
              <w:widowControl w:val="0"/>
              <w:spacing w:line="240" w:lineRule="exact"/>
              <w:rPr>
                <w:rFonts w:ascii="宋体" w:hAnsi="宋体" w:cs="宋体"/>
                <w:color w:val="000000" w:themeColor="text1"/>
                <w:szCs w:val="21"/>
              </w:rPr>
            </w:pPr>
            <w:r>
              <w:rPr>
                <w:rFonts w:ascii="宋体" w:hAnsi="宋体" w:cs="宋体"/>
                <w:color w:val="000000" w:themeColor="text1"/>
                <w:szCs w:val="21"/>
              </w:rPr>
              <w:t>通过贯标，最高管理者和管理层增加了风险意识，分析了公司所处的内外部环境，面临的风险和机遇，并制定应对风险和机遇的措施，由各分管部门进行落实。</w:t>
            </w:r>
          </w:p>
          <w:p>
            <w:pPr>
              <w:pStyle w:val="8"/>
              <w:widowControl w:val="0"/>
              <w:spacing w:line="240" w:lineRule="exact"/>
              <w:rPr>
                <w:b/>
                <w:color w:val="000000" w:themeColor="text1"/>
                <w:sz w:val="20"/>
                <w:szCs w:val="20"/>
              </w:rPr>
            </w:pPr>
            <w:r>
              <w:rPr>
                <w:rFonts w:ascii="宋体" w:hAnsi="宋体" w:cs="宋体"/>
                <w:color w:val="000000" w:themeColor="text1"/>
                <w:szCs w:val="21"/>
              </w:rPr>
              <w:t>企业按照标准和客户要求进行</w:t>
            </w:r>
            <w:r>
              <w:rPr>
                <w:rFonts w:hint="eastAsia" w:ascii="宋体" w:hAnsi="宋体" w:cs="宋体"/>
                <w:color w:val="000000" w:themeColor="text1"/>
                <w:szCs w:val="21"/>
                <w:lang w:val="en-US" w:eastAsia="zh-CN"/>
              </w:rPr>
              <w:t>休闲运动鞋的销售。</w:t>
            </w:r>
          </w:p>
        </w:tc>
      </w:tr>
      <w:tr>
        <w:tblPrEx>
          <w:tblCellMar>
            <w:top w:w="0" w:type="dxa"/>
            <w:left w:w="108" w:type="dxa"/>
            <w:bottom w:w="0" w:type="dxa"/>
            <w:right w:w="108" w:type="dxa"/>
          </w:tblCellMar>
        </w:tblPrEx>
        <w:trPr>
          <w:cantSplit/>
          <w:trHeight w:val="141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2、相关方需求和期望识别情况</w:t>
            </w:r>
          </w:p>
          <w:p>
            <w:pPr>
              <w:pStyle w:val="8"/>
              <w:widowControl w:val="0"/>
              <w:ind w:firstLine="420"/>
              <w:rPr>
                <w:rFonts w:hint="eastAsia" w:cs="宋体" w:asciiTheme="minorEastAsia" w:hAnsiTheme="minorEastAsia" w:eastAsiaTheme="minorEastAsia"/>
                <w:szCs w:val="21"/>
              </w:rPr>
            </w:pPr>
            <w:r>
              <w:rPr>
                <w:rFonts w:ascii="宋体" w:hAnsi="宋体" w:cs="宋体"/>
                <w:color w:val="000000" w:themeColor="text1"/>
                <w:szCs w:val="21"/>
              </w:rPr>
              <w:t>提供了相关方</w:t>
            </w:r>
            <w:r>
              <w:rPr>
                <w:rFonts w:hint="eastAsia" w:ascii="宋体" w:hAnsi="宋体" w:cs="宋体"/>
                <w:color w:val="000000" w:themeColor="text1"/>
                <w:szCs w:val="21"/>
                <w:lang w:val="en-US" w:eastAsia="zh-CN"/>
              </w:rPr>
              <w:t>及相关方要求清单</w:t>
            </w:r>
            <w:r>
              <w:rPr>
                <w:rFonts w:ascii="宋体" w:hAnsi="宋体" w:cs="宋体"/>
                <w:color w:val="000000" w:themeColor="text1"/>
                <w:szCs w:val="21"/>
              </w:rPr>
              <w:t>，调查分析基本齐全，确定了优先考虑的顺序。</w:t>
            </w:r>
            <w:r>
              <w:rPr>
                <w:rFonts w:hint="eastAsia" w:cs="宋体" w:asciiTheme="minorEastAsia" w:hAnsiTheme="minorEastAsia" w:eastAsiaTheme="minorEastAsia"/>
                <w:szCs w:val="21"/>
                <w:lang w:val="en-US" w:eastAsia="zh-CN"/>
              </w:rPr>
              <w:t>管理层</w:t>
            </w:r>
            <w:r>
              <w:rPr>
                <w:rFonts w:hint="eastAsia" w:cs="宋体" w:asciiTheme="minorEastAsia" w:hAnsiTheme="minorEastAsia" w:eastAsiaTheme="minorEastAsia"/>
                <w:szCs w:val="21"/>
              </w:rPr>
              <w:t>对这些相关方及其要求的相关信息进行监视和评审，以便于理解和持续满足相关方的需求和期望。</w:t>
            </w:r>
          </w:p>
          <w:p>
            <w:pPr>
              <w:pStyle w:val="8"/>
              <w:widowControl w:val="0"/>
              <w:ind w:firstLine="420"/>
              <w:rPr>
                <w:rFonts w:ascii="宋体" w:hAnsi="宋体" w:cs="宋体"/>
                <w:color w:val="000000" w:themeColor="text1"/>
                <w:szCs w:val="21"/>
              </w:rPr>
            </w:pPr>
            <w:r>
              <w:rPr>
                <w:rFonts w:hint="eastAsia" w:cs="宋体" w:asciiTheme="minorEastAsia" w:hAnsiTheme="minorEastAsia" w:eastAsiaTheme="minorEastAsia"/>
                <w:szCs w:val="21"/>
                <w:lang w:val="en-US" w:eastAsia="zh-CN"/>
              </w:rPr>
              <w:t>自</w:t>
            </w:r>
            <w:r>
              <w:rPr>
                <w:rFonts w:ascii="宋体" w:hAnsi="宋体" w:cs="宋体"/>
                <w:color w:val="000000" w:themeColor="text1"/>
                <w:szCs w:val="21"/>
              </w:rPr>
              <w:t>体系建立</w:t>
            </w:r>
            <w:r>
              <w:rPr>
                <w:rFonts w:hint="eastAsia" w:ascii="宋体" w:hAnsi="宋体" w:cs="宋体"/>
                <w:color w:val="000000" w:themeColor="text1"/>
                <w:szCs w:val="21"/>
                <w:lang w:val="en-US" w:eastAsia="zh-CN"/>
              </w:rPr>
              <w:t>以来</w:t>
            </w:r>
            <w:r>
              <w:rPr>
                <w:rFonts w:ascii="宋体" w:hAnsi="宋体" w:cs="宋体"/>
                <w:color w:val="000000" w:themeColor="text1"/>
                <w:szCs w:val="21"/>
              </w:rPr>
              <w:t>，未发生变化的情况。</w:t>
            </w:r>
          </w:p>
        </w:tc>
      </w:tr>
      <w:tr>
        <w:tblPrEx>
          <w:tblCellMar>
            <w:top w:w="0" w:type="dxa"/>
            <w:left w:w="108" w:type="dxa"/>
            <w:bottom w:w="0" w:type="dxa"/>
            <w:right w:w="108" w:type="dxa"/>
          </w:tblCellMar>
        </w:tblPrEx>
        <w:trPr>
          <w:cantSplit/>
          <w:trHeight w:val="207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80" w:lineRule="exact"/>
              <w:rPr>
                <w:rFonts w:ascii="宋体" w:hAnsi="宋体"/>
                <w:b/>
                <w:color w:val="000000" w:themeColor="text1"/>
                <w:sz w:val="20"/>
                <w:szCs w:val="20"/>
              </w:rPr>
            </w:pPr>
            <w:r>
              <w:rPr>
                <w:b/>
                <w:color w:val="000000" w:themeColor="text1"/>
                <w:sz w:val="20"/>
                <w:szCs w:val="20"/>
              </w:rPr>
              <w:t>3.</w:t>
            </w:r>
            <w:r>
              <w:rPr>
                <w:rFonts w:ascii="MS Mincho" w:hAnsi="MS Mincho" w:eastAsia="MS Mincho" w:cs="MS Mincho"/>
                <w:b/>
                <w:color w:val="000000" w:themeColor="text1"/>
                <w:spacing w:val="-10"/>
                <w:sz w:val="20"/>
                <w:szCs w:val="20"/>
              </w:rPr>
              <w:t xml:space="preserve"> </w:t>
            </w:r>
            <w:r>
              <w:rPr>
                <w:rFonts w:hint="eastAsia" w:ascii="MS Mincho" w:hAnsi="MS Mincho" w:eastAsia="MS Mincho" w:cs="MS Mincho"/>
                <w:b/>
                <w:color w:val="000000" w:themeColor="text1"/>
                <w:spacing w:val="-10"/>
                <w:sz w:val="20"/>
                <w:szCs w:val="20"/>
                <w:lang w:eastAsia="zh-CN"/>
              </w:rPr>
              <w:t>□</w:t>
            </w:r>
            <w:r>
              <w:rPr>
                <w:rFonts w:ascii="宋体" w:hAnsi="宋体"/>
                <w:b/>
                <w:color w:val="000000" w:themeColor="text1"/>
                <w:sz w:val="20"/>
                <w:szCs w:val="20"/>
              </w:rPr>
              <w:t>质量/</w:t>
            </w:r>
            <w:r>
              <w:rPr>
                <w:rFonts w:ascii="MS Mincho" w:hAnsi="MS Mincho" w:eastAsia="MS Mincho" w:cs="MS Mincho"/>
                <w:b/>
                <w:color w:val="000000" w:themeColor="text1"/>
                <w:spacing w:val="-10"/>
                <w:sz w:val="20"/>
                <w:szCs w:val="20"/>
              </w:rPr>
              <w:t>☑</w:t>
            </w:r>
            <w:r>
              <w:rPr>
                <w:rFonts w:ascii="宋体" w:hAnsi="宋体"/>
                <w:b/>
                <w:color w:val="000000" w:themeColor="text1"/>
                <w:sz w:val="20"/>
                <w:szCs w:val="20"/>
              </w:rPr>
              <w:t>环境/</w:t>
            </w:r>
            <w:r>
              <w:rPr>
                <w:rFonts w:ascii="MS Mincho" w:hAnsi="MS Mincho" w:eastAsia="MS Mincho" w:cs="MS Mincho"/>
                <w:b/>
                <w:color w:val="000000" w:themeColor="text1"/>
                <w:spacing w:val="-10"/>
                <w:sz w:val="20"/>
                <w:szCs w:val="20"/>
              </w:rPr>
              <w:t>☑</w:t>
            </w:r>
            <w:r>
              <w:rPr>
                <w:rFonts w:ascii="宋体" w:hAnsi="宋体"/>
                <w:b/>
                <w:color w:val="000000" w:themeColor="text1"/>
                <w:sz w:val="20"/>
                <w:szCs w:val="20"/>
              </w:rPr>
              <w:t>职业健康安全方针（组织</w:t>
            </w:r>
            <w:r>
              <w:rPr>
                <w:b/>
                <w:color w:val="000000" w:themeColor="text1"/>
                <w:sz w:val="20"/>
                <w:szCs w:val="20"/>
              </w:rPr>
              <w:t>方针</w:t>
            </w:r>
            <w:r>
              <w:rPr>
                <w:rFonts w:ascii="宋体" w:hAnsi="宋体"/>
                <w:b/>
                <w:color w:val="000000" w:themeColor="text1"/>
                <w:sz w:val="20"/>
                <w:szCs w:val="20"/>
              </w:rPr>
              <w:t>的适宜性/持续适宜性、方针的传达及职工的理解等）</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公司管理方针：</w:t>
            </w:r>
            <w:r>
              <w:rPr>
                <w:rFonts w:hint="eastAsia" w:cs="宋体" w:asciiTheme="minorEastAsia" w:hAnsiTheme="minorEastAsia" w:eastAsiaTheme="minorEastAsia"/>
                <w:kern w:val="2"/>
                <w:sz w:val="21"/>
                <w:szCs w:val="21"/>
                <w:lang w:val="en-US" w:eastAsia="zh-CN" w:bidi="ar-SA"/>
              </w:rPr>
              <w:t>公</w:t>
            </w:r>
            <w:r>
              <w:rPr>
                <w:rFonts w:hint="eastAsia" w:cs="宋体" w:asciiTheme="minorEastAsia" w:hAnsiTheme="minorEastAsia" w:eastAsiaTheme="minorEastAsia"/>
                <w:szCs w:val="21"/>
                <w:lang w:val="en-US" w:eastAsia="zh-CN"/>
              </w:rPr>
              <w:t>司管理方针：遵纪守法，爱护环境。安全第一，持续改进。</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与总经理进行交谈，对方针内涵的理解</w:t>
            </w:r>
            <w:r>
              <w:rPr>
                <w:rFonts w:hint="eastAsia" w:cs="宋体" w:asciiTheme="minorEastAsia" w:hAnsiTheme="minorEastAsia" w:eastAsiaTheme="minorEastAsia"/>
                <w:szCs w:val="21"/>
                <w:lang w:val="en-US" w:eastAsia="zh-CN"/>
              </w:rPr>
              <w:t>，手册中明确内涵</w:t>
            </w:r>
            <w:r>
              <w:rPr>
                <w:rFonts w:hint="eastAsia" w:cs="宋体" w:asciiTheme="minorEastAsia" w:hAnsiTheme="minorEastAsia" w:eastAsiaTheme="minorEastAsia"/>
                <w:szCs w:val="21"/>
              </w:rPr>
              <w:t>；方针能为制定目标提供框架，方针基本符合标准的要求。</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总经理用会议、文件、宣传栏或资料等方法确保管理方针传达给所有为公司工作或代表公司的人员或相关方，并理解得到贯彻。</w:t>
            </w:r>
          </w:p>
          <w:p>
            <w:pPr>
              <w:pStyle w:val="8"/>
              <w:widowControl w:val="0"/>
              <w:spacing w:line="240" w:lineRule="exact"/>
              <w:ind w:left="199" w:firstLine="210"/>
              <w:rPr>
                <w:b/>
                <w:color w:val="000000" w:themeColor="text1"/>
              </w:rPr>
            </w:pPr>
          </w:p>
        </w:tc>
      </w:tr>
      <w:tr>
        <w:tblPrEx>
          <w:tblCellMar>
            <w:top w:w="0" w:type="dxa"/>
            <w:left w:w="108" w:type="dxa"/>
            <w:bottom w:w="0" w:type="dxa"/>
            <w:right w:w="108" w:type="dxa"/>
          </w:tblCellMar>
        </w:tblPrEx>
        <w:trPr>
          <w:cantSplit/>
          <w:trHeight w:val="144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201" w:right="113" w:hanging="201"/>
              <w:jc w:val="center"/>
              <w:rPr>
                <w:rFonts w:ascii="宋体" w:hAnsi="宋体"/>
                <w:b/>
                <w:color w:val="000000" w:themeColor="text1"/>
                <w:sz w:val="20"/>
                <w:szCs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rPr>
            </w:pPr>
            <w:r>
              <w:rPr>
                <w:b/>
                <w:color w:val="000000" w:themeColor="text1"/>
              </w:rPr>
              <w:t>4、风险识别与控制策划（QMS）</w:t>
            </w:r>
          </w:p>
          <w:p>
            <w:pPr>
              <w:pStyle w:val="8"/>
              <w:widowControl w:val="0"/>
              <w:spacing w:line="240" w:lineRule="exact"/>
              <w:ind w:firstLine="420"/>
              <w:rPr>
                <w:rFonts w:hint="eastAsia" w:eastAsia="宋体"/>
                <w:b/>
                <w:color w:val="000000" w:themeColor="text1"/>
                <w:lang w:eastAsia="zh-CN"/>
              </w:rPr>
            </w:pPr>
            <w:r>
              <w:rPr>
                <w:rFonts w:hint="eastAsia" w:cs="宋体" w:asciiTheme="minorEastAsia" w:hAnsiTheme="minorEastAsia" w:eastAsiaTheme="minorEastAsia"/>
                <w:szCs w:val="21"/>
                <w:lang w:val="en-US" w:eastAsia="zh-CN"/>
              </w:rPr>
              <w:t>/</w:t>
            </w:r>
          </w:p>
        </w:tc>
      </w:tr>
      <w:tr>
        <w:tblPrEx>
          <w:tblCellMar>
            <w:top w:w="0" w:type="dxa"/>
            <w:left w:w="108" w:type="dxa"/>
            <w:bottom w:w="0" w:type="dxa"/>
            <w:right w:w="108" w:type="dxa"/>
          </w:tblCellMar>
        </w:tblPrEx>
        <w:trPr>
          <w:cantSplit/>
          <w:trHeight w:val="193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rPr>
                <w:rFonts w:ascii="宋体" w:hAnsi="宋体"/>
                <w:b/>
                <w:color w:val="000000" w:themeColor="text1"/>
                <w:sz w:val="20"/>
                <w:szCs w:val="20"/>
              </w:rPr>
            </w:pPr>
            <w:r>
              <w:rPr>
                <w:b/>
                <w:color w:val="000000" w:themeColor="text1"/>
                <w:sz w:val="20"/>
                <w:szCs w:val="20"/>
              </w:rPr>
              <w:t>5.QMS</w:t>
            </w:r>
            <w:r>
              <w:rPr>
                <w:rFonts w:ascii="宋体" w:hAnsi="宋体"/>
                <w:b/>
                <w:color w:val="000000" w:themeColor="text1"/>
                <w:sz w:val="20"/>
                <w:szCs w:val="20"/>
              </w:rPr>
              <w:t>过程</w:t>
            </w:r>
          </w:p>
          <w:p>
            <w:pPr>
              <w:pStyle w:val="8"/>
              <w:widowControl w:val="0"/>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质量管理体系过程有：</w:t>
            </w:r>
          </w:p>
          <w:p>
            <w:pPr>
              <w:pStyle w:val="8"/>
              <w:widowControl w:val="0"/>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其中关键过程有</w:t>
            </w:r>
            <w:r>
              <w:rPr>
                <w:rFonts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w:t>
            </w:r>
            <w:r>
              <w:rPr>
                <w:rFonts w:ascii="宋体" w:hAnsi="宋体"/>
                <w:b/>
                <w:color w:val="000000" w:themeColor="text1"/>
                <w:sz w:val="20"/>
                <w:szCs w:val="20"/>
                <w:u w:val="single"/>
              </w:rPr>
              <w:t xml:space="preserve">     </w:t>
            </w:r>
          </w:p>
          <w:p>
            <w:pPr>
              <w:pStyle w:val="8"/>
              <w:widowControl w:val="0"/>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需要确认过程</w:t>
            </w:r>
          </w:p>
          <w:p>
            <w:pPr>
              <w:pStyle w:val="8"/>
              <w:widowControl w:val="0"/>
              <w:tabs>
                <w:tab w:val="left" w:pos="540"/>
              </w:tabs>
              <w:spacing w:line="300" w:lineRule="exact"/>
              <w:ind w:left="211" w:hanging="211"/>
              <w:rPr>
                <w:rFonts w:hint="eastAsia" w:ascii="宋体" w:hAnsi="宋体" w:eastAsia="宋体"/>
                <w:b/>
                <w:color w:val="000000" w:themeColor="text1"/>
                <w:szCs w:val="21"/>
                <w:lang w:eastAsia="zh-CN"/>
              </w:rPr>
            </w:pPr>
            <w:r>
              <w:rPr>
                <w:rFonts w:hint="eastAsia" w:ascii="宋体" w:hAnsi="宋体"/>
                <w:b/>
                <w:color w:val="000000" w:themeColor="text1"/>
                <w:sz w:val="20"/>
                <w:lang w:val="en-US" w:eastAsia="zh-CN"/>
              </w:rPr>
              <w:t>/</w:t>
            </w:r>
          </w:p>
        </w:tc>
      </w:tr>
      <w:tr>
        <w:tblPrEx>
          <w:tblCellMar>
            <w:top w:w="0" w:type="dxa"/>
            <w:left w:w="108" w:type="dxa"/>
            <w:bottom w:w="0" w:type="dxa"/>
            <w:right w:w="108" w:type="dxa"/>
          </w:tblCellMar>
        </w:tblPrEx>
        <w:trPr>
          <w:cantSplit/>
          <w:trHeight w:val="21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b/>
                <w:color w:val="000000" w:themeColor="text1"/>
                <w:spacing w:val="-12"/>
                <w:sz w:val="20"/>
                <w:szCs w:val="20"/>
              </w:rPr>
              <w:t>环境因素/</w:t>
            </w:r>
          </w:p>
          <w:p>
            <w:pPr>
              <w:pStyle w:val="8"/>
              <w:widowControl w:val="0"/>
              <w:spacing w:line="300" w:lineRule="exact"/>
              <w:rPr>
                <w:rFonts w:ascii="宋体" w:hAnsi="宋体"/>
                <w:b/>
                <w:color w:val="000000" w:themeColor="text1"/>
                <w:spacing w:val="-8"/>
                <w:sz w:val="20"/>
                <w:szCs w:val="20"/>
              </w:rPr>
            </w:pPr>
            <w:r>
              <w:rPr>
                <w:rFonts w:ascii="宋体" w:hAnsi="宋体"/>
                <w:b/>
                <w:color w:val="000000" w:themeColor="text1"/>
                <w:sz w:val="20"/>
                <w:szCs w:val="20"/>
              </w:rPr>
              <w:t>（</w:t>
            </w:r>
            <w:r>
              <w:rPr>
                <w:rFonts w:ascii="宋体" w:hAnsi="宋体"/>
                <w:b/>
                <w:color w:val="000000" w:themeColor="text1"/>
                <w:spacing w:val="-8"/>
                <w:sz w:val="20"/>
                <w:szCs w:val="20"/>
              </w:rPr>
              <w:t>环境因素</w:t>
            </w:r>
            <w:r>
              <w:rPr>
                <w:rFonts w:ascii="宋体" w:hAnsi="宋体"/>
                <w:b/>
                <w:color w:val="000000" w:themeColor="text1"/>
                <w:sz w:val="20"/>
                <w:szCs w:val="20"/>
              </w:rPr>
              <w:t>辨识是否充分、重要环境因素评价合理性，</w:t>
            </w:r>
            <w:r>
              <w:rPr>
                <w:rFonts w:ascii="宋体" w:hAnsi="宋体"/>
                <w:b/>
                <w:color w:val="000000" w:themeColor="text1"/>
                <w:spacing w:val="-8"/>
                <w:sz w:val="20"/>
                <w:szCs w:val="20"/>
              </w:rPr>
              <w:t>以及环境因素动态变更的及时性等）</w:t>
            </w:r>
          </w:p>
          <w:p>
            <w:pPr>
              <w:pStyle w:val="20"/>
              <w:widowControl w:val="0"/>
              <w:ind w:firstLine="420"/>
              <w:rPr>
                <w:rFonts w:cs="宋体" w:asciiTheme="minorEastAsia" w:hAnsiTheme="minorEastAsia" w:eastAsiaTheme="minorEastAsia"/>
                <w:szCs w:val="21"/>
              </w:rPr>
            </w:pPr>
            <w:r>
              <w:rPr>
                <w:rFonts w:ascii="宋体" w:hAnsi="宋体"/>
                <w:color w:val="000000" w:themeColor="text1"/>
                <w:szCs w:val="21"/>
              </w:rPr>
              <w:t>识别了办公、服务、业务、质检等过程的环境因素，动态更新，评价出的重要环境因素包括：</w:t>
            </w:r>
            <w:r>
              <w:rPr>
                <w:rFonts w:hint="eastAsia" w:ascii="宋体" w:hAnsi="宋体"/>
                <w:sz w:val="21"/>
                <w:szCs w:val="21"/>
                <w:u w:val="none"/>
              </w:rPr>
              <w:t>固</w:t>
            </w:r>
            <w:r>
              <w:rPr>
                <w:rFonts w:hint="eastAsia" w:ascii="宋体" w:hAnsi="宋体"/>
                <w:sz w:val="21"/>
                <w:szCs w:val="21"/>
                <w:u w:val="none"/>
                <w:lang w:val="en-US" w:eastAsia="zh-CN"/>
              </w:rPr>
              <w:t>体</w:t>
            </w:r>
            <w:r>
              <w:rPr>
                <w:rFonts w:hint="eastAsia" w:ascii="宋体" w:hAnsi="宋体"/>
                <w:sz w:val="21"/>
                <w:szCs w:val="21"/>
                <w:u w:val="none"/>
              </w:rPr>
              <w:t>废</w:t>
            </w:r>
            <w:r>
              <w:rPr>
                <w:rFonts w:hint="eastAsia" w:ascii="宋体" w:hAnsi="宋体"/>
                <w:sz w:val="21"/>
                <w:szCs w:val="21"/>
                <w:u w:val="none"/>
                <w:lang w:val="en-US" w:eastAsia="zh-CN"/>
              </w:rPr>
              <w:t>弃物</w:t>
            </w:r>
            <w:r>
              <w:rPr>
                <w:rFonts w:hint="eastAsia" w:ascii="宋体" w:hAnsi="宋体"/>
                <w:sz w:val="21"/>
                <w:szCs w:val="21"/>
                <w:u w:val="none"/>
              </w:rPr>
              <w:t>排放、火灾</w:t>
            </w:r>
            <w:r>
              <w:rPr>
                <w:rFonts w:hint="eastAsia" w:ascii="宋体" w:hAnsi="宋体"/>
                <w:sz w:val="21"/>
                <w:szCs w:val="21"/>
                <w:u w:val="none"/>
                <w:lang w:val="en-US" w:eastAsia="zh-CN"/>
              </w:rPr>
              <w:t>2</w:t>
            </w:r>
            <w:r>
              <w:rPr>
                <w:rFonts w:cs="宋体" w:asciiTheme="minorEastAsia" w:hAnsiTheme="minorEastAsia"/>
                <w:szCs w:val="21"/>
              </w:rPr>
              <w:t>项重要环境因素。</w:t>
            </w:r>
          </w:p>
          <w:p>
            <w:pPr>
              <w:pStyle w:val="20"/>
              <w:widowControl w:val="0"/>
              <w:ind w:firstLine="420"/>
              <w:rPr>
                <w:rFonts w:ascii="宋体" w:hAnsi="宋体"/>
                <w:color w:val="000000" w:themeColor="text1"/>
                <w:szCs w:val="21"/>
              </w:rPr>
            </w:pPr>
            <w:r>
              <w:rPr>
                <w:rFonts w:ascii="宋体" w:hAnsi="宋体"/>
                <w:color w:val="000000" w:themeColor="text1"/>
                <w:szCs w:val="21"/>
              </w:rPr>
              <w:t>在采购、销售、服务、运输、交付、日常办公等过程能使用生命周期观点和方法识别环境因素并加以管理。</w:t>
            </w:r>
          </w:p>
          <w:p>
            <w:pPr>
              <w:pStyle w:val="8"/>
              <w:widowControl w:val="0"/>
              <w:spacing w:line="300" w:lineRule="exact"/>
              <w:ind w:firstLine="420"/>
              <w:rPr>
                <w:b/>
                <w:color w:val="000000" w:themeColor="text1"/>
                <w:sz w:val="20"/>
                <w:szCs w:val="20"/>
              </w:rPr>
            </w:pPr>
            <w:r>
              <w:rPr>
                <w:rFonts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中，措施方案适宜、实施基本有效。</w:t>
            </w:r>
          </w:p>
        </w:tc>
      </w:tr>
      <w:tr>
        <w:tblPrEx>
          <w:tblCellMar>
            <w:top w:w="0" w:type="dxa"/>
            <w:left w:w="108" w:type="dxa"/>
            <w:bottom w:w="0" w:type="dxa"/>
            <w:right w:w="108" w:type="dxa"/>
          </w:tblCellMar>
        </w:tblPrEx>
        <w:trPr>
          <w:cantSplit/>
          <w:trHeight w:val="21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b/>
                <w:color w:val="000000" w:themeColor="text1"/>
                <w:spacing w:val="-12"/>
                <w:sz w:val="20"/>
                <w:szCs w:val="20"/>
              </w:rPr>
              <w:t>职业健康安全危险源</w:t>
            </w:r>
          </w:p>
          <w:p>
            <w:pPr>
              <w:pStyle w:val="8"/>
              <w:widowControl w:val="0"/>
              <w:spacing w:line="300" w:lineRule="exact"/>
              <w:rPr>
                <w:rFonts w:ascii="宋体" w:hAnsi="宋体"/>
                <w:b/>
                <w:color w:val="000000" w:themeColor="text1"/>
                <w:spacing w:val="-8"/>
                <w:sz w:val="20"/>
                <w:szCs w:val="20"/>
              </w:rPr>
            </w:pPr>
            <w:r>
              <w:rPr>
                <w:rFonts w:ascii="宋体" w:hAnsi="宋体"/>
                <w:b/>
                <w:color w:val="000000" w:themeColor="text1"/>
                <w:sz w:val="20"/>
                <w:szCs w:val="20"/>
              </w:rPr>
              <w:t>（</w:t>
            </w:r>
            <w:r>
              <w:rPr>
                <w:rFonts w:ascii="宋体" w:hAnsi="宋体"/>
                <w:b/>
                <w:color w:val="000000" w:themeColor="text1"/>
                <w:spacing w:val="-8"/>
                <w:sz w:val="20"/>
                <w:szCs w:val="20"/>
              </w:rPr>
              <w:t>职业健康安全危险源</w:t>
            </w:r>
            <w:r>
              <w:rPr>
                <w:rFonts w:ascii="宋体" w:hAnsi="宋体"/>
                <w:b/>
                <w:color w:val="000000" w:themeColor="text1"/>
                <w:sz w:val="20"/>
                <w:szCs w:val="20"/>
              </w:rPr>
              <w:t>辨识是否充分、风险评价合理性，</w:t>
            </w:r>
            <w:r>
              <w:rPr>
                <w:rFonts w:ascii="宋体" w:hAnsi="宋体"/>
                <w:b/>
                <w:color w:val="000000" w:themeColor="text1"/>
                <w:spacing w:val="-8"/>
                <w:sz w:val="20"/>
                <w:szCs w:val="20"/>
              </w:rPr>
              <w:t>以及风险评价动态变更的及时性等）</w:t>
            </w:r>
          </w:p>
          <w:p>
            <w:pPr>
              <w:pStyle w:val="20"/>
              <w:widowControl w:val="0"/>
              <w:ind w:firstLine="420"/>
              <w:rPr>
                <w:rFonts w:hint="eastAsia" w:cs="宋体" w:asciiTheme="minorEastAsia" w:hAnsiTheme="minorEastAsia" w:eastAsiaTheme="minorEastAsia"/>
                <w:sz w:val="21"/>
                <w:szCs w:val="21"/>
                <w:lang w:eastAsia="zh-CN"/>
              </w:rPr>
            </w:pPr>
            <w:r>
              <w:rPr>
                <w:rFonts w:ascii="宋体" w:hAnsi="宋体"/>
                <w:color w:val="000000" w:themeColor="text1"/>
                <w:szCs w:val="21"/>
              </w:rPr>
              <w:t>识别了办公、服务、业务等过程的危险源，动态更新，确定的不可接受风险包括：</w:t>
            </w:r>
            <w:r>
              <w:rPr>
                <w:rFonts w:hint="eastAsia" w:cs="宋体" w:asciiTheme="minorEastAsia" w:hAnsiTheme="minorEastAsia" w:eastAsiaTheme="minorEastAsia"/>
                <w:sz w:val="21"/>
                <w:szCs w:val="21"/>
              </w:rPr>
              <w:t>突发疫情损害健康、火灾、</w:t>
            </w:r>
            <w:r>
              <w:rPr>
                <w:rFonts w:hint="eastAsia" w:cs="宋体" w:asciiTheme="minorEastAsia" w:hAnsiTheme="minorEastAsia" w:eastAsiaTheme="minorEastAsia"/>
                <w:sz w:val="21"/>
                <w:szCs w:val="21"/>
                <w:lang w:val="en-US" w:eastAsia="zh-CN"/>
              </w:rPr>
              <w:t>意外伤害（交通等</w:t>
            </w:r>
            <w:r>
              <w:rPr>
                <w:rFonts w:hint="eastAsia" w:cs="宋体" w:asciiTheme="minorEastAsia" w:hAnsiTheme="minorEastAsia" w:eastAsiaTheme="minorEastAsia"/>
                <w:sz w:val="21"/>
                <w:szCs w:val="21"/>
                <w:lang w:eastAsia="zh-CN"/>
              </w:rPr>
              <w:t>）、中暑</w:t>
            </w:r>
          </w:p>
          <w:p>
            <w:pPr>
              <w:pStyle w:val="20"/>
              <w:widowControl w:val="0"/>
              <w:ind w:firstLine="420"/>
              <w:rPr>
                <w:rFonts w:ascii="宋体" w:hAnsi="宋体"/>
                <w:color w:val="000000" w:themeColor="text1"/>
                <w:szCs w:val="21"/>
              </w:rPr>
            </w:pPr>
            <w:r>
              <w:rPr>
                <w:rFonts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中，措施方案基本适宜、实施基本有效。</w:t>
            </w:r>
          </w:p>
          <w:p>
            <w:pPr>
              <w:pStyle w:val="8"/>
              <w:widowControl w:val="0"/>
              <w:spacing w:line="300" w:lineRule="exact"/>
              <w:ind w:firstLine="420"/>
              <w:rPr>
                <w:b/>
                <w:color w:val="000000" w:themeColor="text1"/>
                <w:sz w:val="20"/>
                <w:szCs w:val="20"/>
              </w:rPr>
            </w:pPr>
            <w:r>
              <w:rPr>
                <w:rFonts w:ascii="宋体" w:hAnsi="宋体"/>
                <w:color w:val="000000" w:themeColor="text1"/>
                <w:szCs w:val="21"/>
              </w:rPr>
              <w:t>公司通过日常巡视等方式进行职业健康安全检查，监视和测量公司的职业健康安全状况，检查工作基本按要求实施。</w:t>
            </w:r>
          </w:p>
        </w:tc>
      </w:tr>
      <w:tr>
        <w:tblPrEx>
          <w:tblCellMar>
            <w:top w:w="0" w:type="dxa"/>
            <w:left w:w="108" w:type="dxa"/>
            <w:bottom w:w="0" w:type="dxa"/>
            <w:right w:w="108" w:type="dxa"/>
          </w:tblCellMar>
        </w:tblPrEx>
        <w:trPr>
          <w:cantSplit/>
          <w:trHeight w:val="18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rPr>
                <w:b/>
                <w:color w:val="000000" w:themeColor="text1"/>
                <w:spacing w:val="-4"/>
                <w:szCs w:val="21"/>
              </w:rPr>
            </w:pPr>
            <w:r>
              <w:rPr>
                <w:b/>
                <w:color w:val="000000" w:themeColor="text1"/>
                <w:szCs w:val="21"/>
              </w:rPr>
              <w:t xml:space="preserve">4. </w:t>
            </w:r>
            <w:r>
              <w:rPr>
                <w:rFonts w:ascii="宋体" w:hAnsi="宋体"/>
                <w:b/>
                <w:color w:val="000000" w:themeColor="text1"/>
                <w:spacing w:val="-4"/>
                <w:szCs w:val="21"/>
              </w:rPr>
              <w:t>法律法规及其他要求</w:t>
            </w:r>
          </w:p>
          <w:p>
            <w:pPr>
              <w:pStyle w:val="8"/>
              <w:widowControl w:val="0"/>
              <w:tabs>
                <w:tab w:val="left" w:pos="540"/>
              </w:tabs>
              <w:spacing w:line="300" w:lineRule="exact"/>
              <w:ind w:left="211" w:hanging="211"/>
              <w:rPr>
                <w:rFonts w:ascii="宋体" w:hAnsi="宋体"/>
                <w:b/>
                <w:color w:val="000000" w:themeColor="text1"/>
                <w:szCs w:val="21"/>
              </w:rPr>
            </w:pPr>
          </w:p>
          <w:p>
            <w:pPr>
              <w:pStyle w:val="21"/>
              <w:widowControl w:val="0"/>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获取法律法规项，</w:t>
            </w:r>
            <w:r>
              <w:rPr>
                <w:rFonts w:ascii="MS Mincho" w:hAnsi="MS Mincho" w:eastAsia="MS Mincho" w:cs="MS Mincho"/>
                <w:b/>
                <w:color w:val="000000" w:themeColor="text1"/>
                <w:szCs w:val="21"/>
              </w:rPr>
              <w:t>☑</w:t>
            </w:r>
            <w:r>
              <w:rPr>
                <w:rFonts w:ascii="宋体" w:hAnsi="宋体"/>
                <w:b/>
                <w:color w:val="000000" w:themeColor="text1"/>
                <w:szCs w:val="21"/>
              </w:rPr>
              <w:t>法律法规获取充分，□法律法规获取有遗漏，缺少</w:t>
            </w:r>
          </w:p>
          <w:p>
            <w:pPr>
              <w:pStyle w:val="8"/>
              <w:widowControl w:val="0"/>
              <w:tabs>
                <w:tab w:val="left" w:pos="540"/>
              </w:tabs>
              <w:spacing w:line="300" w:lineRule="exact"/>
              <w:ind w:left="1" w:hanging="91"/>
              <w:rPr>
                <w:rFonts w:ascii="宋体" w:hAnsi="宋体"/>
                <w:b/>
                <w:color w:val="000000" w:themeColor="text1"/>
                <w:szCs w:val="21"/>
                <w:u w:val="single"/>
              </w:rPr>
            </w:pPr>
          </w:p>
          <w:p>
            <w:pPr>
              <w:pStyle w:val="21"/>
              <w:widowControl w:val="0"/>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结合公司的□产品/服务</w:t>
            </w:r>
            <w:r>
              <w:rPr>
                <w:rFonts w:ascii="MS Mincho" w:hAnsi="MS Mincho" w:eastAsia="MS Mincho" w:cs="MS Mincho"/>
                <w:b/>
                <w:color w:val="000000" w:themeColor="text1"/>
                <w:szCs w:val="21"/>
              </w:rPr>
              <w:t>☑</w:t>
            </w:r>
            <w:r>
              <w:rPr>
                <w:rFonts w:ascii="宋体" w:hAnsi="宋体"/>
                <w:b/>
                <w:color w:val="000000" w:themeColor="text1"/>
                <w:szCs w:val="21"/>
              </w:rPr>
              <w:t>环境因素</w:t>
            </w:r>
            <w:r>
              <w:rPr>
                <w:rFonts w:ascii="MS Mincho" w:hAnsi="MS Mincho" w:eastAsia="MS Mincho" w:cs="MS Mincho"/>
                <w:b/>
                <w:color w:val="000000" w:themeColor="text1"/>
                <w:szCs w:val="21"/>
              </w:rPr>
              <w:t>☑</w:t>
            </w:r>
            <w:r>
              <w:rPr>
                <w:rFonts w:ascii="宋体" w:hAnsi="宋体"/>
                <w:b/>
                <w:color w:val="000000" w:themeColor="text1"/>
                <w:szCs w:val="21"/>
              </w:rPr>
              <w:t>危险源，</w:t>
            </w:r>
            <w:r>
              <w:rPr>
                <w:rFonts w:ascii="MS Mincho" w:hAnsi="MS Mincho" w:eastAsia="MS Mincho" w:cs="MS Mincho"/>
                <w:b/>
                <w:color w:val="000000" w:themeColor="text1"/>
                <w:szCs w:val="21"/>
              </w:rPr>
              <w:t>☑</w:t>
            </w:r>
            <w:r>
              <w:rPr>
                <w:rFonts w:ascii="宋体" w:hAnsi="宋体"/>
                <w:b/>
                <w:color w:val="000000" w:themeColor="text1"/>
                <w:szCs w:val="21"/>
              </w:rPr>
              <w:t>确定 □未确定法律法规要求的具体条款，</w:t>
            </w:r>
          </w:p>
          <w:p>
            <w:pPr>
              <w:pStyle w:val="21"/>
              <w:widowControl w:val="0"/>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法律法规的宣传方式：</w:t>
            </w:r>
            <w:r>
              <w:rPr>
                <w:rFonts w:ascii="宋体" w:hAnsi="宋体"/>
                <w:szCs w:val="21"/>
                <w:u w:val="single"/>
              </w:rPr>
              <w:t>公司通过培训、</w:t>
            </w:r>
            <w:r>
              <w:rPr>
                <w:rFonts w:hint="eastAsia" w:ascii="宋体" w:hAnsi="宋体"/>
                <w:szCs w:val="21"/>
                <w:u w:val="single"/>
                <w:lang w:val="en-US" w:eastAsia="zh-CN"/>
              </w:rPr>
              <w:t>利用网络工具</w:t>
            </w:r>
            <w:r>
              <w:rPr>
                <w:rFonts w:hint="eastAsia" w:ascii="宋体" w:hAnsi="宋体"/>
                <w:szCs w:val="21"/>
                <w:u w:val="single"/>
                <w:lang w:eastAsia="zh-CN"/>
              </w:rPr>
              <w:t>、</w:t>
            </w:r>
            <w:r>
              <w:rPr>
                <w:rFonts w:ascii="宋体" w:hAnsi="宋体"/>
                <w:szCs w:val="21"/>
                <w:u w:val="single"/>
              </w:rPr>
              <w:t>文件、会议等方式向有关员工传达法律、法规及其它要求的相关要求</w:t>
            </w:r>
          </w:p>
          <w:p>
            <w:pPr>
              <w:pStyle w:val="21"/>
              <w:widowControl w:val="0"/>
              <w:numPr>
                <w:ilvl w:val="0"/>
                <w:numId w:val="2"/>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法律法规要求及时更新了</w:t>
            </w:r>
            <w:r>
              <w:rPr>
                <w:rFonts w:ascii="宋体" w:hAnsi="宋体"/>
                <w:szCs w:val="21"/>
                <w:u w:val="single"/>
              </w:rPr>
              <w:t>为最新版本，每年更新一次</w:t>
            </w:r>
          </w:p>
          <w:p>
            <w:pPr>
              <w:pStyle w:val="8"/>
              <w:widowControl w:val="0"/>
              <w:tabs>
                <w:tab w:val="left" w:pos="0"/>
              </w:tabs>
              <w:spacing w:line="240" w:lineRule="exact"/>
              <w:rPr>
                <w:b/>
                <w:color w:val="000000" w:themeColor="text1"/>
                <w:sz w:val="14"/>
                <w:szCs w:val="14"/>
              </w:rPr>
            </w:pPr>
          </w:p>
        </w:tc>
      </w:tr>
      <w:tr>
        <w:tblPrEx>
          <w:tblCellMar>
            <w:top w:w="0" w:type="dxa"/>
            <w:left w:w="108" w:type="dxa"/>
            <w:bottom w:w="0" w:type="dxa"/>
            <w:right w:w="108" w:type="dxa"/>
          </w:tblCellMar>
        </w:tblPrEx>
        <w:trPr>
          <w:cantSplit/>
          <w:trHeight w:val="221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rPr>
                <w:rFonts w:ascii="宋体" w:hAnsi="宋体"/>
                <w:b/>
                <w:color w:val="000000" w:themeColor="text1"/>
                <w:szCs w:val="21"/>
              </w:rPr>
            </w:pPr>
            <w:r>
              <w:rPr>
                <w:b/>
                <w:color w:val="000000" w:themeColor="text1"/>
                <w:szCs w:val="21"/>
              </w:rPr>
              <w:t xml:space="preserve">5. </w:t>
            </w:r>
            <w:r>
              <w:rPr>
                <w:rFonts w:ascii="宋体" w:hAnsi="宋体"/>
                <w:b/>
                <w:color w:val="000000" w:themeColor="text1"/>
                <w:szCs w:val="21"/>
              </w:rPr>
              <w:t>目标、方案</w:t>
            </w:r>
          </w:p>
          <w:p>
            <w:pPr>
              <w:pStyle w:val="8"/>
              <w:widowControl w:val="0"/>
              <w:spacing w:line="300" w:lineRule="exact"/>
              <w:rPr>
                <w:rFonts w:ascii="宋体" w:hAnsi="宋体"/>
                <w:b/>
                <w:color w:val="000000" w:themeColor="text1"/>
                <w:sz w:val="20"/>
                <w:szCs w:val="20"/>
              </w:rPr>
            </w:pPr>
            <w:r>
              <w:rPr>
                <w:b/>
                <w:color w:val="000000" w:themeColor="text1"/>
                <w:sz w:val="20"/>
                <w:szCs w:val="20"/>
              </w:rPr>
              <w:t>（</w:t>
            </w:r>
            <w:r>
              <w:rPr>
                <w:rFonts w:ascii="宋体" w:hAnsi="宋体"/>
                <w:b/>
                <w:color w:val="000000" w:themeColor="text1"/>
                <w:spacing w:val="-4"/>
                <w:sz w:val="20"/>
                <w:szCs w:val="20"/>
              </w:rPr>
              <w:t>在相关层次上建立</w:t>
            </w:r>
            <w:r>
              <w:rPr>
                <w:rFonts w:ascii="宋体" w:hAnsi="宋体"/>
                <w:b/>
                <w:color w:val="000000" w:themeColor="text1"/>
                <w:sz w:val="20"/>
                <w:szCs w:val="20"/>
              </w:rPr>
              <w:t>可测量的目标，目标、方案的有效性，对质量目标的实现情况进行评价并叙述测量方法）</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环境目标：</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1.固体废弃物分类管理，处置率100%；</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2.杜绝火灾事故。</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职业健康安全目标：</w:t>
            </w:r>
          </w:p>
          <w:p>
            <w:pPr>
              <w:spacing w:line="28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火灾、</w:t>
            </w:r>
            <w:r>
              <w:rPr>
                <w:rFonts w:hint="eastAsia" w:cs="宋体" w:asciiTheme="minorEastAsia" w:hAnsiTheme="minorEastAsia" w:eastAsiaTheme="minorEastAsia"/>
                <w:szCs w:val="21"/>
              </w:rPr>
              <w:t>触电</w:t>
            </w:r>
            <w:r>
              <w:rPr>
                <w:rFonts w:hint="eastAsia" w:cs="宋体" w:asciiTheme="minorEastAsia" w:hAnsiTheme="minorEastAsia" w:eastAsiaTheme="minorEastAsia"/>
                <w:szCs w:val="21"/>
                <w:lang w:val="en-US" w:eastAsia="zh-CN"/>
              </w:rPr>
              <w:t>事故为0次/年;</w:t>
            </w:r>
          </w:p>
          <w:p>
            <w:pPr>
              <w:spacing w:line="28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交通意外事故为0次/年。</w:t>
            </w:r>
          </w:p>
          <w:p>
            <w:pPr>
              <w:spacing w:line="280" w:lineRule="exact"/>
              <w:ind w:firstLine="420" w:firstLineChars="20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提供</w:t>
            </w:r>
            <w:r>
              <w:rPr>
                <w:rFonts w:hint="eastAsia" w:cs="宋体" w:asciiTheme="minorEastAsia" w:hAnsiTheme="minorEastAsia" w:eastAsiaTheme="minorEastAsia"/>
                <w:szCs w:val="21"/>
                <w:highlight w:val="none"/>
                <w:lang w:val="en-US" w:eastAsia="zh-CN"/>
              </w:rPr>
              <w:t>2021年环境、职业健康安全目标分解、达成统计表：</w:t>
            </w:r>
          </w:p>
          <w:p>
            <w:pPr>
              <w:spacing w:line="280" w:lineRule="exact"/>
              <w:ind w:firstLine="420" w:firstLineChars="20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从4月开始每月进行公司级目标及分解目标完成情况统计，并进行记录，均达成。</w:t>
            </w:r>
          </w:p>
          <w:p>
            <w:pPr>
              <w:ind w:firstLine="420" w:firstLineChars="200"/>
              <w:jc w:val="left"/>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lang w:val="en-US" w:eastAsia="zh-CN"/>
              </w:rPr>
              <w:t>职业健康安全管理方案：2项  触电和意外伤害</w:t>
            </w:r>
          </w:p>
          <w:p>
            <w:pPr>
              <w:spacing w:line="280" w:lineRule="exact"/>
              <w:ind w:firstLine="420" w:firstLineChars="20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有</w:t>
            </w:r>
            <w:r>
              <w:rPr>
                <w:rFonts w:hint="eastAsia" w:cs="宋体" w:asciiTheme="minorEastAsia" w:hAnsiTheme="minorEastAsia" w:eastAsiaTheme="minorEastAsia"/>
                <w:szCs w:val="21"/>
                <w:highlight w:val="none"/>
              </w:rPr>
              <w:t>2021.7</w:t>
            </w:r>
            <w:r>
              <w:rPr>
                <w:rFonts w:hint="eastAsia" w:cs="宋体" w:asciiTheme="minorEastAsia" w:hAnsiTheme="minorEastAsia" w:eastAsiaTheme="minorEastAsia"/>
                <w:szCs w:val="21"/>
                <w:highlight w:val="none"/>
                <w:lang w:val="en-US" w:eastAsia="zh-CN"/>
              </w:rPr>
              <w:t>.31职业健康安全管理方案跟进检查记录：记录目标、方法及方案执行情况，按措施执行中；</w:t>
            </w:r>
          </w:p>
          <w:p>
            <w:pPr>
              <w:spacing w:line="280" w:lineRule="exact"/>
              <w:ind w:firstLine="420" w:firstLineChars="20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有固废处理、火灾环境管理方案：因素、现状、目标指标和管理方案、时限、负责部门；</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highlight w:val="none"/>
                <w:lang w:val="en-US" w:eastAsia="zh-CN"/>
              </w:rPr>
              <w:t>有2021</w:t>
            </w:r>
            <w:r>
              <w:rPr>
                <w:rFonts w:hint="eastAsia"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lang w:val="en-US" w:eastAsia="zh-CN"/>
              </w:rPr>
              <w:t>.31环境管理方案跟进检查记录：完成情况按措施实施中。</w:t>
            </w:r>
          </w:p>
          <w:p>
            <w:pPr>
              <w:pStyle w:val="8"/>
              <w:widowControl w:val="0"/>
              <w:spacing w:line="240" w:lineRule="exact"/>
              <w:rPr>
                <w:rFonts w:ascii="宋体" w:hAnsi="宋体"/>
                <w:b/>
                <w:color w:val="000000" w:themeColor="text1"/>
              </w:rPr>
            </w:pPr>
          </w:p>
        </w:tc>
      </w:tr>
      <w:tr>
        <w:tblPrEx>
          <w:tblCellMar>
            <w:top w:w="0" w:type="dxa"/>
            <w:left w:w="108" w:type="dxa"/>
            <w:bottom w:w="0" w:type="dxa"/>
            <w:right w:w="108" w:type="dxa"/>
          </w:tblCellMar>
        </w:tblPrEx>
        <w:trPr>
          <w:cantSplit/>
          <w:trHeight w:val="92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rFonts w:ascii="宋体" w:hAnsi="宋体"/>
                <w:b/>
                <w:color w:val="000000" w:themeColor="text1"/>
                <w:sz w:val="20"/>
                <w:szCs w:val="20"/>
              </w:rPr>
            </w:pPr>
            <w:r>
              <w:rPr>
                <w:b/>
                <w:color w:val="000000" w:themeColor="text1"/>
                <w:sz w:val="20"/>
                <w:szCs w:val="20"/>
              </w:rPr>
              <w:t>6. 文件与记录控制 (</w:t>
            </w:r>
            <w:r>
              <w:rPr>
                <w:rFonts w:ascii="宋体" w:hAnsi="宋体"/>
                <w:b/>
                <w:color w:val="000000" w:themeColor="text1"/>
                <w:sz w:val="20"/>
                <w:szCs w:val="20"/>
              </w:rPr>
              <w:t>文审修订后文件与标准的符合程度评价、</w:t>
            </w:r>
            <w:r>
              <w:rPr>
                <w:rFonts w:ascii="宋体" w:hAnsi="宋体"/>
                <w:b/>
                <w:color w:val="000000" w:themeColor="text1"/>
                <w:spacing w:val="-4"/>
                <w:sz w:val="20"/>
                <w:szCs w:val="20"/>
              </w:rPr>
              <w:t>文件</w:t>
            </w:r>
            <w:r>
              <w:rPr>
                <w:rFonts w:ascii="宋体" w:hAnsi="宋体"/>
                <w:b/>
                <w:color w:val="000000" w:themeColor="text1"/>
                <w:sz w:val="20"/>
                <w:szCs w:val="20"/>
              </w:rPr>
              <w:t>控制管理等)</w:t>
            </w:r>
          </w:p>
          <w:p>
            <w:pPr>
              <w:pStyle w:val="8"/>
              <w:widowControl w:val="0"/>
              <w:spacing w:line="480" w:lineRule="auto"/>
              <w:ind w:firstLine="420"/>
              <w:rPr>
                <w:rFonts w:ascii="宋体" w:hAnsi="宋体"/>
                <w:b/>
                <w:color w:val="000000" w:themeColor="text1"/>
                <w:sz w:val="20"/>
                <w:szCs w:val="20"/>
              </w:rPr>
            </w:pPr>
            <w:r>
              <w:rPr>
                <w:szCs w:val="22"/>
              </w:rPr>
              <w:t>体系文件符合公司要求，文件和记录管理控制符合标准要求。</w:t>
            </w:r>
          </w:p>
        </w:tc>
      </w:tr>
      <w:tr>
        <w:tblPrEx>
          <w:tblCellMar>
            <w:top w:w="0" w:type="dxa"/>
            <w:left w:w="108" w:type="dxa"/>
            <w:bottom w:w="0" w:type="dxa"/>
            <w:right w:w="108" w:type="dxa"/>
          </w:tblCellMar>
        </w:tblPrEx>
        <w:trPr>
          <w:cantSplit/>
          <w:trHeight w:val="112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r>
              <w:rPr>
                <w:rFonts w:ascii="宋体" w:hAnsi="宋体"/>
                <w:b/>
                <w:color w:val="000000" w:themeColor="text1"/>
                <w:szCs w:val="21"/>
              </w:rPr>
              <w:t>(二)资源评价</w:t>
            </w: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rPr>
                <w:b/>
                <w:color w:val="000000" w:themeColor="text1"/>
                <w:sz w:val="20"/>
                <w:szCs w:val="20"/>
              </w:rPr>
            </w:pPr>
            <w:r>
              <w:rPr>
                <w:rFonts w:ascii="宋体" w:hAnsi="宋体"/>
                <w:b/>
                <w:color w:val="000000" w:themeColor="text1"/>
                <w:sz w:val="20"/>
                <w:szCs w:val="20"/>
              </w:rPr>
              <w:t>人力资源的简要说明</w:t>
            </w:r>
            <w:r>
              <w:rPr>
                <w:b/>
                <w:color w:val="000000" w:themeColor="text1"/>
                <w:sz w:val="20"/>
                <w:szCs w:val="20"/>
              </w:rPr>
              <w:t>.</w:t>
            </w:r>
            <w:r>
              <w:rPr>
                <w:rFonts w:ascii="宋体" w:hAnsi="宋体"/>
                <w:b/>
                <w:color w:val="000000" w:themeColor="text1"/>
                <w:sz w:val="20"/>
                <w:szCs w:val="20"/>
              </w:rPr>
              <w:t>:</w:t>
            </w:r>
          </w:p>
          <w:p>
            <w:pPr>
              <w:pStyle w:val="8"/>
              <w:widowControl w:val="0"/>
              <w:ind w:firstLine="420"/>
              <w:jc w:val="left"/>
              <w:rPr>
                <w:szCs w:val="22"/>
              </w:rPr>
            </w:pPr>
            <w:r>
              <w:rPr>
                <w:szCs w:val="22"/>
              </w:rPr>
              <w:t>编制了</w:t>
            </w:r>
            <w:r>
              <w:rPr>
                <w:rFonts w:hint="eastAsia" w:cs="宋体" w:asciiTheme="minorEastAsia" w:hAnsiTheme="minorEastAsia" w:eastAsiaTheme="minorEastAsia"/>
                <w:szCs w:val="21"/>
              </w:rPr>
              <w:t>岗位职务能力要求及评定</w:t>
            </w:r>
            <w:r>
              <w:rPr>
                <w:szCs w:val="22"/>
              </w:rPr>
              <w:t>，制定培训计划，定期组织相关培训，主要是</w:t>
            </w:r>
            <w:r>
              <w:rPr>
                <w:rFonts w:hint="eastAsia"/>
                <w:szCs w:val="22"/>
                <w:lang w:val="en-US" w:eastAsia="zh-CN"/>
              </w:rPr>
              <w:t>体</w:t>
            </w:r>
            <w:r>
              <w:rPr>
                <w:rFonts w:hint="eastAsia" w:cs="宋体" w:asciiTheme="minorEastAsia" w:hAnsiTheme="minorEastAsia" w:eastAsiaTheme="minorEastAsia"/>
                <w:szCs w:val="21"/>
                <w:lang w:val="en-US" w:eastAsia="zh-CN"/>
              </w:rPr>
              <w:t>系标准、法律法规培训</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方针和目标及职责</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风险和机遇、环境</w:t>
            </w:r>
            <w:r>
              <w:rPr>
                <w:rFonts w:hint="eastAsia" w:cs="宋体" w:asciiTheme="minorEastAsia" w:hAnsiTheme="minorEastAsia" w:eastAsiaTheme="minorEastAsia"/>
                <w:szCs w:val="21"/>
              </w:rPr>
              <w:t>安全支持性文件、管理制度培训</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环境因素危险源的识别、评价与控制培训</w:t>
            </w:r>
            <w:r>
              <w:rPr>
                <w:szCs w:val="22"/>
              </w:rPr>
              <w:t>。</w:t>
            </w:r>
          </w:p>
          <w:p>
            <w:pPr>
              <w:pStyle w:val="8"/>
              <w:widowControl w:val="0"/>
              <w:spacing w:line="300" w:lineRule="exact"/>
              <w:rPr>
                <w:rFonts w:ascii="宋体" w:hAnsi="宋体"/>
                <w:b/>
                <w:color w:val="000000" w:themeColor="text1"/>
                <w:sz w:val="20"/>
                <w:szCs w:val="20"/>
              </w:rPr>
            </w:pPr>
          </w:p>
        </w:tc>
      </w:tr>
      <w:tr>
        <w:tblPrEx>
          <w:tblCellMar>
            <w:top w:w="0" w:type="dxa"/>
            <w:left w:w="108" w:type="dxa"/>
            <w:bottom w:w="0" w:type="dxa"/>
            <w:right w:w="108" w:type="dxa"/>
          </w:tblCellMar>
        </w:tblPrEx>
        <w:trPr>
          <w:cantSplit/>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rFonts w:ascii="宋体" w:hAnsi="宋体"/>
                <w:b/>
                <w:color w:val="000000" w:themeColor="text1"/>
                <w:sz w:val="20"/>
                <w:szCs w:val="20"/>
              </w:rPr>
            </w:pPr>
            <w:r>
              <w:rPr>
                <w:rFonts w:ascii="宋体" w:hAnsi="宋体"/>
                <w:b/>
                <w:color w:val="000000" w:themeColor="text1"/>
                <w:sz w:val="20"/>
                <w:szCs w:val="20"/>
              </w:rPr>
              <w:t>设备设施（包括信息系统）、</w:t>
            </w:r>
          </w:p>
          <w:p>
            <w:pPr>
              <w:pStyle w:val="8"/>
              <w:widowControl w:val="0"/>
              <w:ind w:firstLine="420"/>
              <w:rPr>
                <w:szCs w:val="22"/>
              </w:rPr>
            </w:pPr>
            <w:r>
              <w:rPr>
                <w:rFonts w:ascii="宋体" w:hAnsi="宋体" w:cs="Arial"/>
                <w:szCs w:val="21"/>
              </w:rPr>
              <w:t>办公</w:t>
            </w:r>
            <w:r>
              <w:rPr>
                <w:rFonts w:hint="eastAsia" w:ascii="宋体" w:hAnsi="宋体" w:cs="Arial"/>
                <w:szCs w:val="21"/>
                <w:lang w:val="en-US" w:eastAsia="zh-CN"/>
              </w:rPr>
              <w:t>用品</w:t>
            </w:r>
            <w:r>
              <w:rPr>
                <w:rFonts w:ascii="宋体" w:hAnsi="宋体" w:cs="Arial"/>
                <w:szCs w:val="21"/>
              </w:rPr>
              <w:t>有</w:t>
            </w:r>
            <w:r>
              <w:rPr>
                <w:rFonts w:hint="eastAsia" w:ascii="宋体" w:hAnsi="宋体" w:eastAsia="宋体" w:cs="Arial"/>
                <w:szCs w:val="21"/>
              </w:rPr>
              <w:t>电脑</w:t>
            </w:r>
            <w:r>
              <w:rPr>
                <w:rFonts w:hint="eastAsia" w:ascii="宋体" w:hAnsi="宋体" w:eastAsia="宋体" w:cs="Arial"/>
                <w:szCs w:val="21"/>
                <w:lang w:eastAsia="zh-CN"/>
              </w:rPr>
              <w:t>、</w:t>
            </w:r>
            <w:r>
              <w:rPr>
                <w:rFonts w:hint="eastAsia" w:ascii="宋体" w:hAnsi="宋体" w:eastAsia="宋体" w:cs="Arial"/>
                <w:szCs w:val="21"/>
              </w:rPr>
              <w:t>打印机</w:t>
            </w:r>
            <w:r>
              <w:rPr>
                <w:rFonts w:hint="eastAsia" w:ascii="宋体" w:hAnsi="宋体" w:eastAsia="宋体" w:cs="Arial"/>
                <w:szCs w:val="21"/>
                <w:lang w:eastAsia="zh-CN"/>
              </w:rPr>
              <w:t>、</w:t>
            </w:r>
            <w:r>
              <w:rPr>
                <w:rFonts w:hint="eastAsia" w:ascii="宋体" w:hAnsi="宋体" w:eastAsia="宋体" w:cs="Arial"/>
                <w:szCs w:val="21"/>
              </w:rPr>
              <w:t>电话机</w:t>
            </w:r>
            <w:r>
              <w:rPr>
                <w:rFonts w:hint="eastAsia" w:ascii="宋体" w:hAnsi="宋体" w:eastAsia="宋体" w:cs="Arial"/>
                <w:szCs w:val="21"/>
                <w:lang w:eastAsia="zh-CN"/>
              </w:rPr>
              <w:t>、</w:t>
            </w:r>
            <w:r>
              <w:rPr>
                <w:rFonts w:hint="eastAsia" w:ascii="宋体" w:hAnsi="宋体" w:cs="Arial"/>
                <w:szCs w:val="21"/>
                <w:lang w:val="en-US" w:eastAsia="zh-CN"/>
              </w:rPr>
              <w:t>桌椅</w:t>
            </w:r>
            <w:r>
              <w:rPr>
                <w:rFonts w:ascii="宋体" w:hAnsi="宋体" w:eastAsia="宋体" w:cs="Arial"/>
                <w:szCs w:val="21"/>
              </w:rPr>
              <w:t>，</w:t>
            </w:r>
            <w:r>
              <w:rPr>
                <w:rFonts w:hint="eastAsia" w:ascii="宋体" w:hAnsi="宋体" w:eastAsia="宋体" w:cs="Arial"/>
                <w:szCs w:val="21"/>
                <w:lang w:val="en-US" w:eastAsia="zh-CN"/>
              </w:rPr>
              <w:t>建立</w:t>
            </w:r>
            <w:r>
              <w:rPr>
                <w:rFonts w:ascii="宋体" w:hAnsi="宋体" w:cs="Arial"/>
                <w:szCs w:val="21"/>
              </w:rPr>
              <w:t>台帐，有独立的办公区域</w:t>
            </w:r>
            <w:r>
              <w:rPr>
                <w:rFonts w:hint="eastAsia" w:ascii="宋体" w:hAnsi="宋体" w:cs="Arial"/>
                <w:szCs w:val="21"/>
                <w:lang w:eastAsia="zh-CN"/>
              </w:rPr>
              <w:t>、</w:t>
            </w:r>
            <w:r>
              <w:rPr>
                <w:rFonts w:hint="eastAsia" w:ascii="宋体" w:hAnsi="宋体" w:cs="Arial"/>
                <w:szCs w:val="21"/>
                <w:lang w:val="en-US" w:eastAsia="zh-CN"/>
              </w:rPr>
              <w:t>接待室、产品</w:t>
            </w:r>
            <w:r>
              <w:rPr>
                <w:rFonts w:ascii="宋体" w:hAnsi="宋体" w:cs="Arial"/>
                <w:szCs w:val="21"/>
              </w:rPr>
              <w:t>贮存场所</w:t>
            </w:r>
            <w:r>
              <w:rPr>
                <w:szCs w:val="22"/>
              </w:rPr>
              <w:t>。</w:t>
            </w:r>
          </w:p>
          <w:p>
            <w:pPr>
              <w:pStyle w:val="8"/>
              <w:widowControl w:val="0"/>
              <w:ind w:firstLine="420"/>
              <w:rPr>
                <w:szCs w:val="22"/>
              </w:rPr>
            </w:pP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rFonts w:ascii="宋体" w:hAnsi="宋体"/>
                <w:b/>
                <w:color w:val="000000" w:themeColor="text1"/>
                <w:sz w:val="20"/>
                <w:szCs w:val="20"/>
              </w:rPr>
            </w:pPr>
            <w:r>
              <w:rPr>
                <w:rFonts w:ascii="宋体" w:hAnsi="宋体"/>
                <w:b/>
                <w:color w:val="000000" w:themeColor="text1"/>
                <w:sz w:val="20"/>
                <w:szCs w:val="20"/>
              </w:rPr>
              <w:t>过程运行环境</w:t>
            </w:r>
          </w:p>
          <w:p>
            <w:pPr>
              <w:pStyle w:val="8"/>
              <w:widowControl w:val="0"/>
              <w:ind w:firstLine="420"/>
              <w:rPr>
                <w:szCs w:val="22"/>
              </w:rPr>
            </w:pPr>
            <w:r>
              <w:rPr>
                <w:szCs w:val="22"/>
              </w:rPr>
              <w:t>办公场所空间较宽敞、光线较明亮，各现场环境整洁</w:t>
            </w:r>
            <w:r>
              <w:rPr>
                <w:rFonts w:hint="eastAsia"/>
                <w:szCs w:val="22"/>
                <w:lang w:eastAsia="zh-CN"/>
              </w:rPr>
              <w:t>、</w:t>
            </w:r>
            <w:r>
              <w:rPr>
                <w:rFonts w:hint="eastAsia"/>
                <w:szCs w:val="22"/>
                <w:lang w:val="en-US" w:eastAsia="zh-CN"/>
              </w:rPr>
              <w:t>安全</w:t>
            </w:r>
            <w:r>
              <w:rPr>
                <w:szCs w:val="22"/>
              </w:rPr>
              <w:t>；</w:t>
            </w:r>
          </w:p>
          <w:p>
            <w:pPr>
              <w:pStyle w:val="8"/>
              <w:widowControl w:val="0"/>
              <w:ind w:firstLine="420"/>
              <w:rPr>
                <w:szCs w:val="22"/>
              </w:rPr>
            </w:pPr>
            <w:r>
              <w:rPr>
                <w:rFonts w:hint="eastAsia"/>
                <w:szCs w:val="22"/>
                <w:lang w:eastAsia="zh-CN"/>
              </w:rPr>
              <w:t>休闲运动鞋销售</w:t>
            </w:r>
            <w:r>
              <w:rPr>
                <w:rFonts w:hint="eastAsia"/>
                <w:szCs w:val="22"/>
                <w:lang w:val="en-US" w:eastAsia="zh-CN"/>
              </w:rPr>
              <w:t>对环境没有特殊要求</w:t>
            </w:r>
            <w:r>
              <w:rPr>
                <w:szCs w:val="22"/>
              </w:rPr>
              <w:t>。</w:t>
            </w:r>
          </w:p>
          <w:p>
            <w:pPr>
              <w:pStyle w:val="8"/>
              <w:widowControl w:val="0"/>
              <w:ind w:firstLine="420"/>
              <w:rPr>
                <w:szCs w:val="22"/>
              </w:rPr>
            </w:pP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rFonts w:ascii="宋体" w:hAnsi="宋体"/>
                <w:b/>
                <w:color w:val="000000" w:themeColor="text1"/>
                <w:sz w:val="20"/>
                <w:szCs w:val="20"/>
              </w:rPr>
            </w:pPr>
            <w:r>
              <w:rPr>
                <w:rFonts w:ascii="宋体" w:hAnsi="宋体"/>
                <w:b/>
                <w:color w:val="000000" w:themeColor="text1"/>
                <w:sz w:val="20"/>
                <w:szCs w:val="20"/>
              </w:rPr>
              <w:t>监视和测量资源</w:t>
            </w:r>
          </w:p>
          <w:p>
            <w:pPr>
              <w:pStyle w:val="8"/>
              <w:widowControl w:val="0"/>
              <w:ind w:firstLine="420"/>
              <w:rPr>
                <w:rFonts w:hint="eastAsia" w:ascii="Times New Roman" w:hAnsi="Times New Roman" w:cs="Times New Roman"/>
                <w:szCs w:val="22"/>
                <w:lang w:val="en-US" w:eastAsia="zh-CN"/>
              </w:rPr>
            </w:pPr>
            <w:r>
              <w:rPr>
                <w:rFonts w:hint="eastAsia" w:cs="Times New Roman"/>
                <w:szCs w:val="22"/>
                <w:lang w:val="en-US" w:eastAsia="zh-CN"/>
              </w:rPr>
              <w:t>公司主要从事销售活动，涉及办公、业务及存储活动，不需要进行环境和职业健康安全监视和测量设备</w:t>
            </w:r>
            <w:r>
              <w:rPr>
                <w:rFonts w:hint="eastAsia" w:ascii="Times New Roman" w:hAnsi="Times New Roman" w:cs="Times New Roman"/>
                <w:szCs w:val="22"/>
                <w:lang w:val="en-US" w:eastAsia="zh-CN"/>
              </w:rPr>
              <w:t>。</w:t>
            </w:r>
          </w:p>
          <w:p>
            <w:pPr>
              <w:pStyle w:val="8"/>
              <w:widowControl w:val="0"/>
              <w:ind w:firstLine="420"/>
              <w:rPr>
                <w:rFonts w:hint="default" w:ascii="Times New Roman" w:hAnsi="Times New Roman" w:cs="Times New Roman"/>
                <w:szCs w:val="22"/>
                <w:lang w:val="en-US" w:eastAsia="zh-CN"/>
              </w:rPr>
            </w:pP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rFonts w:ascii="宋体" w:hAnsi="宋体"/>
                <w:b/>
                <w:color w:val="000000" w:themeColor="text1"/>
                <w:sz w:val="20"/>
                <w:szCs w:val="20"/>
              </w:rPr>
            </w:pPr>
            <w:r>
              <w:rPr>
                <w:rFonts w:ascii="宋体" w:hAnsi="宋体"/>
                <w:b/>
                <w:color w:val="000000" w:themeColor="text1"/>
                <w:sz w:val="20"/>
                <w:szCs w:val="20"/>
              </w:rPr>
              <w:t>知识</w:t>
            </w:r>
          </w:p>
          <w:p>
            <w:pPr>
              <w:pStyle w:val="8"/>
              <w:widowControl w:val="0"/>
              <w:spacing w:line="360" w:lineRule="auto"/>
              <w:ind w:right="-105" w:firstLine="420"/>
              <w:rPr>
                <w:rFonts w:hint="default" w:ascii="宋体" w:hAnsi="宋体"/>
                <w:b/>
                <w:color w:val="000000" w:themeColor="text1"/>
                <w:sz w:val="20"/>
                <w:szCs w:val="20"/>
                <w:lang w:val="en-US"/>
              </w:rPr>
            </w:pPr>
            <w:r>
              <w:rPr>
                <w:rFonts w:ascii="宋体" w:hAnsi="宋体" w:cs="Arial"/>
                <w:szCs w:val="21"/>
              </w:rPr>
              <w:t>公司按手册中组织知识要求进行知识控制，公司确定运行过程所需的知识及管理要求；</w:t>
            </w:r>
            <w:r>
              <w:rPr>
                <w:rFonts w:hint="eastAsia" w:ascii="宋体" w:hAnsi="宋体" w:cs="Arial"/>
                <w:szCs w:val="21"/>
                <w:lang w:val="en-US" w:eastAsia="zh-CN"/>
              </w:rPr>
              <w:t>明确</w:t>
            </w:r>
            <w:r>
              <w:rPr>
                <w:rFonts w:ascii="宋体" w:hAnsi="宋体" w:cs="Arial"/>
                <w:szCs w:val="21"/>
              </w:rPr>
              <w:t>内</w:t>
            </w:r>
            <w:r>
              <w:rPr>
                <w:rFonts w:hint="eastAsia" w:ascii="宋体" w:hAnsi="宋体" w:cs="Arial"/>
                <w:szCs w:val="21"/>
                <w:lang w:val="en-US" w:eastAsia="zh-CN"/>
              </w:rPr>
              <w:t>外</w:t>
            </w:r>
            <w:r>
              <w:rPr>
                <w:rFonts w:ascii="宋体" w:hAnsi="宋体" w:cs="Arial"/>
                <w:szCs w:val="21"/>
              </w:rPr>
              <w:t>部来源</w:t>
            </w:r>
            <w:r>
              <w:rPr>
                <w:rFonts w:hint="eastAsia" w:ascii="宋体" w:hAnsi="宋体" w:cs="Arial"/>
                <w:szCs w:val="21"/>
                <w:lang w:val="en-US" w:eastAsia="zh-CN"/>
              </w:rPr>
              <w:t>及管理要求，并按要求进行日常控制。</w:t>
            </w:r>
          </w:p>
        </w:tc>
      </w:tr>
      <w:tr>
        <w:tblPrEx>
          <w:tblCellMar>
            <w:top w:w="0" w:type="dxa"/>
            <w:left w:w="108" w:type="dxa"/>
            <w:bottom w:w="0" w:type="dxa"/>
            <w:right w:w="108" w:type="dxa"/>
          </w:tblCellMar>
        </w:tblPrEx>
        <w:trPr>
          <w:cantSplit/>
          <w:trHeight w:val="64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rFonts w:ascii="宋体" w:hAnsi="宋体"/>
                <w:b/>
                <w:color w:val="000000" w:themeColor="text1"/>
                <w:sz w:val="20"/>
                <w:szCs w:val="20"/>
              </w:rPr>
            </w:pPr>
            <w:r>
              <w:rPr>
                <w:rFonts w:ascii="宋体" w:hAnsi="宋体"/>
                <w:b/>
                <w:color w:val="000000" w:themeColor="text1"/>
                <w:sz w:val="20"/>
                <w:szCs w:val="20"/>
              </w:rPr>
              <w:t>环保设施：</w:t>
            </w:r>
          </w:p>
          <w:p>
            <w:pPr>
              <w:pStyle w:val="8"/>
              <w:widowControl w:val="0"/>
              <w:spacing w:line="240" w:lineRule="exact"/>
              <w:rPr>
                <w:rFonts w:hint="eastAsia"/>
                <w:szCs w:val="22"/>
                <w:lang w:val="en-US" w:eastAsia="zh-CN"/>
              </w:rPr>
            </w:pPr>
            <w:r>
              <w:rPr>
                <w:szCs w:val="22"/>
              </w:rPr>
              <w:t>现场设置分类垃圾桶；</w:t>
            </w:r>
            <w:r>
              <w:rPr>
                <w:rFonts w:hint="eastAsia"/>
                <w:szCs w:val="22"/>
                <w:lang w:val="en-US" w:eastAsia="zh-CN"/>
              </w:rPr>
              <w:t>灭火器、消防栓；状态正常完好；</w:t>
            </w:r>
          </w:p>
          <w:p>
            <w:pPr>
              <w:pStyle w:val="8"/>
              <w:widowControl w:val="0"/>
              <w:spacing w:line="240" w:lineRule="exact"/>
              <w:rPr>
                <w:rFonts w:hint="default"/>
                <w:szCs w:val="22"/>
                <w:lang w:val="en-US" w:eastAsia="zh-CN"/>
              </w:rPr>
            </w:pPr>
          </w:p>
        </w:tc>
      </w:tr>
      <w:tr>
        <w:tblPrEx>
          <w:tblCellMar>
            <w:top w:w="0" w:type="dxa"/>
            <w:left w:w="108" w:type="dxa"/>
            <w:bottom w:w="0" w:type="dxa"/>
            <w:right w:w="108" w:type="dxa"/>
          </w:tblCellMar>
        </w:tblPrEx>
        <w:trPr>
          <w:cantSplit/>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rFonts w:ascii="宋体" w:hAnsi="宋体"/>
                <w:b/>
                <w:color w:val="000000" w:themeColor="text1"/>
                <w:sz w:val="20"/>
                <w:szCs w:val="20"/>
              </w:rPr>
            </w:pPr>
            <w:r>
              <w:rPr>
                <w:rFonts w:ascii="宋体" w:hAnsi="宋体"/>
                <w:b/>
                <w:color w:val="000000" w:themeColor="text1"/>
                <w:sz w:val="20"/>
                <w:szCs w:val="20"/>
              </w:rPr>
              <w:t>职业健康安全设施：</w:t>
            </w:r>
          </w:p>
          <w:p>
            <w:pPr>
              <w:pStyle w:val="8"/>
              <w:widowControl w:val="0"/>
              <w:spacing w:line="240" w:lineRule="exact"/>
              <w:rPr>
                <w:szCs w:val="22"/>
              </w:rPr>
            </w:pPr>
            <w:r>
              <w:rPr>
                <w:szCs w:val="22"/>
              </w:rPr>
              <w:t>标志牌、</w:t>
            </w:r>
            <w:r>
              <w:rPr>
                <w:rFonts w:hint="eastAsia"/>
                <w:szCs w:val="22"/>
                <w:lang w:val="en-US" w:eastAsia="zh-CN"/>
              </w:rPr>
              <w:t>口罩、消毒剂</w:t>
            </w:r>
            <w:r>
              <w:rPr>
                <w:szCs w:val="22"/>
              </w:rPr>
              <w:t>、消防栓、灭火器</w:t>
            </w:r>
          </w:p>
          <w:p>
            <w:pPr>
              <w:pStyle w:val="8"/>
              <w:widowControl w:val="0"/>
              <w:spacing w:line="240" w:lineRule="exact"/>
              <w:rPr>
                <w:szCs w:val="22"/>
              </w:rPr>
            </w:pPr>
          </w:p>
        </w:tc>
      </w:tr>
      <w:tr>
        <w:tblPrEx>
          <w:tblCellMar>
            <w:top w:w="0" w:type="dxa"/>
            <w:left w:w="108" w:type="dxa"/>
            <w:bottom w:w="0" w:type="dxa"/>
            <w:right w:w="108" w:type="dxa"/>
          </w:tblCellMar>
        </w:tblPrEx>
        <w:trPr>
          <w:cantSplit/>
          <w:trHeight w:val="173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 w:val="20"/>
                <w:szCs w:val="20"/>
              </w:rPr>
            </w:pPr>
            <w:r>
              <w:rPr>
                <w:b/>
                <w:color w:val="000000" w:themeColor="text1"/>
                <w:sz w:val="20"/>
                <w:szCs w:val="20"/>
              </w:rPr>
              <w:t>(三)体系运行情况</w:t>
            </w: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rPr>
                <w:b/>
                <w:color w:val="000000" w:themeColor="text1"/>
                <w:sz w:val="20"/>
                <w:szCs w:val="20"/>
              </w:rPr>
            </w:pPr>
            <w:r>
              <w:rPr>
                <w:b/>
                <w:color w:val="000000" w:themeColor="text1"/>
                <w:sz w:val="20"/>
                <w:szCs w:val="20"/>
              </w:rPr>
              <w:t>1. 针对方针的管理职责评审</w:t>
            </w:r>
          </w:p>
          <w:p>
            <w:pPr>
              <w:pStyle w:val="8"/>
              <w:widowControl w:val="0"/>
              <w:spacing w:line="300" w:lineRule="exact"/>
              <w:ind w:left="1" w:firstLine="0"/>
              <w:rPr>
                <w:b/>
                <w:color w:val="000000" w:themeColor="text1"/>
                <w:sz w:val="20"/>
                <w:szCs w:val="20"/>
              </w:rPr>
            </w:pPr>
            <w:r>
              <w:rPr>
                <w:b/>
                <w:color w:val="000000" w:themeColor="text1"/>
                <w:sz w:val="20"/>
                <w:szCs w:val="20"/>
              </w:rPr>
              <w:t>（包括针对组织宗旨，制定相关管理方针政策、确保方针为员工理解并在运营中实施，监视方针的实施并评审方针的适宜性）</w:t>
            </w:r>
          </w:p>
          <w:p>
            <w:pPr>
              <w:pStyle w:val="20"/>
              <w:widowControl w:val="0"/>
              <w:ind w:firstLine="420"/>
              <w:rPr>
                <w:szCs w:val="22"/>
              </w:rPr>
            </w:pPr>
            <w:r>
              <w:rPr>
                <w:szCs w:val="22"/>
              </w:rPr>
              <w:t>根据组织宗旨制定了管理体系方针，进行了有效沟通，在管理评审时进行评审，符合要求。</w:t>
            </w:r>
          </w:p>
          <w:p>
            <w:pPr>
              <w:pStyle w:val="8"/>
              <w:widowControl w:val="0"/>
              <w:spacing w:line="300" w:lineRule="exact"/>
              <w:ind w:left="1" w:firstLine="0"/>
              <w:rPr>
                <w:b/>
                <w:color w:val="000000" w:themeColor="text1"/>
                <w:sz w:val="20"/>
                <w:szCs w:val="20"/>
              </w:rPr>
            </w:pPr>
          </w:p>
        </w:tc>
      </w:tr>
      <w:tr>
        <w:tblPrEx>
          <w:tblCellMar>
            <w:top w:w="0" w:type="dxa"/>
            <w:left w:w="108" w:type="dxa"/>
            <w:bottom w:w="0" w:type="dxa"/>
            <w:right w:w="108" w:type="dxa"/>
          </w:tblCellMar>
        </w:tblPrEx>
        <w:trPr>
          <w:cantSplit/>
          <w:trHeight w:val="255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ind w:left="159" w:hanging="159"/>
              <w:rPr>
                <w:b/>
                <w:color w:val="000000" w:themeColor="text1"/>
                <w:sz w:val="20"/>
                <w:szCs w:val="20"/>
              </w:rPr>
            </w:pPr>
            <w:r>
              <w:rPr>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pPr>
              <w:pStyle w:val="8"/>
              <w:widowControl w:val="0"/>
              <w:spacing w:line="240" w:lineRule="exact"/>
              <w:rPr>
                <w:rFonts w:ascii="楷体_GB2312" w:hAnsi="楷体_GB2312" w:eastAsia="楷体_GB2312"/>
                <w:b/>
                <w:color w:val="000000" w:themeColor="text1"/>
                <w:sz w:val="20"/>
                <w:szCs w:val="20"/>
              </w:rPr>
            </w:pPr>
          </w:p>
          <w:p>
            <w:pPr>
              <w:pStyle w:val="8"/>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内部沟通的情况：内部沟通方式：</w:t>
            </w:r>
            <w:r>
              <w:rPr>
                <w:szCs w:val="21"/>
              </w:rPr>
              <w:t>培训、会议、电话；</w:t>
            </w:r>
          </w:p>
          <w:p>
            <w:pPr>
              <w:pStyle w:val="8"/>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 xml:space="preserve">                内部沟通的效果：</w:t>
            </w:r>
            <w:r>
              <w:rPr>
                <w:szCs w:val="21"/>
              </w:rPr>
              <w:t>沟通畅通；</w:t>
            </w:r>
          </w:p>
          <w:p>
            <w:pPr>
              <w:pStyle w:val="8"/>
              <w:widowControl w:val="0"/>
              <w:spacing w:line="240" w:lineRule="exact"/>
              <w:rPr>
                <w:rFonts w:ascii="楷体_GB2312" w:hAnsi="楷体_GB2312" w:eastAsia="楷体_GB2312"/>
                <w:b/>
                <w:color w:val="000000" w:themeColor="text1"/>
                <w:sz w:val="20"/>
                <w:szCs w:val="20"/>
              </w:rPr>
            </w:pPr>
          </w:p>
          <w:p>
            <w:pPr>
              <w:pStyle w:val="8"/>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组织对外联络，关注顾客的感受情况（QMS）：</w:t>
            </w:r>
            <w:r>
              <w:rPr>
                <w:szCs w:val="21"/>
              </w:rPr>
              <w:t>定期组织顾客满意度调查和走访。</w:t>
            </w:r>
          </w:p>
          <w:p>
            <w:pPr>
              <w:pStyle w:val="8"/>
              <w:widowControl w:val="0"/>
              <w:spacing w:line="240" w:lineRule="exact"/>
              <w:rPr>
                <w:rFonts w:ascii="楷体_GB2312" w:hAnsi="楷体_GB2312" w:eastAsia="楷体_GB2312"/>
                <w:b/>
                <w:color w:val="000000" w:themeColor="text1"/>
                <w:sz w:val="20"/>
                <w:szCs w:val="20"/>
              </w:rPr>
            </w:pPr>
          </w:p>
          <w:p>
            <w:pPr>
              <w:pStyle w:val="8"/>
              <w:widowControl w:val="0"/>
              <w:rPr>
                <w:rFonts w:ascii="楷体_GB2312" w:hAnsi="楷体_GB2312" w:eastAsia="楷体_GB2312"/>
                <w:b/>
                <w:color w:val="000000" w:themeColor="text1"/>
                <w:szCs w:val="21"/>
              </w:rPr>
            </w:pPr>
            <w:r>
              <w:rPr>
                <w:rFonts w:ascii="楷体_GB2312" w:hAnsi="楷体_GB2312" w:eastAsia="楷体_GB2312"/>
                <w:b/>
                <w:color w:val="000000" w:themeColor="text1"/>
                <w:sz w:val="20"/>
                <w:szCs w:val="20"/>
              </w:rPr>
              <w:t>外部信息的接收、成文并答复的情况（E、S填写）：</w:t>
            </w:r>
            <w:r>
              <w:rPr>
                <w:szCs w:val="21"/>
              </w:rPr>
              <w:t>参加相关部门组织的会议、网络及走访，接收相关部门下达的通知并在公司内部沟通传达。</w:t>
            </w:r>
          </w:p>
          <w:p>
            <w:pPr>
              <w:pStyle w:val="8"/>
              <w:widowControl w:val="0"/>
              <w:spacing w:line="240" w:lineRule="exact"/>
              <w:rPr>
                <w:rFonts w:ascii="楷体_GB2312" w:hAnsi="楷体_GB2312" w:eastAsia="楷体_GB2312"/>
                <w:b/>
                <w:color w:val="000000" w:themeColor="text1"/>
                <w:sz w:val="20"/>
                <w:szCs w:val="20"/>
              </w:rPr>
            </w:pPr>
          </w:p>
          <w:p>
            <w:pPr>
              <w:pStyle w:val="8"/>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重要环境因素信息对外交流情况（EMS填写）：</w:t>
            </w:r>
            <w:r>
              <w:rPr>
                <w:rFonts w:asciiTheme="minorEastAsia" w:hAnsiTheme="minorEastAsia"/>
                <w:szCs w:val="21"/>
              </w:rPr>
              <w:t>通过发放《告相关方书》与相关方就相关</w:t>
            </w:r>
            <w:r>
              <w:rPr>
                <w:rFonts w:hint="eastAsia" w:asciiTheme="minorEastAsia" w:hAnsiTheme="minorEastAsia"/>
                <w:szCs w:val="21"/>
                <w:lang w:eastAsia="zh-CN"/>
              </w:rPr>
              <w:t>环境、职业健康安全</w:t>
            </w:r>
            <w:r>
              <w:rPr>
                <w:rFonts w:asciiTheme="minorEastAsia" w:hAnsiTheme="minorEastAsia"/>
                <w:szCs w:val="21"/>
              </w:rPr>
              <w:t>信息进行相互沟通。</w:t>
            </w:r>
          </w:p>
          <w:p>
            <w:pPr>
              <w:pStyle w:val="8"/>
              <w:widowControl w:val="0"/>
              <w:spacing w:line="240" w:lineRule="exact"/>
              <w:rPr>
                <w:rFonts w:ascii="楷体_GB2312" w:hAnsi="楷体_GB2312" w:eastAsia="楷体_GB2312"/>
                <w:b/>
                <w:color w:val="000000" w:themeColor="text1"/>
                <w:sz w:val="20"/>
                <w:szCs w:val="20"/>
              </w:rPr>
            </w:pPr>
            <w:r>
              <w:rPr>
                <w:rFonts w:ascii="楷体_GB2312" w:hAnsi="楷体_GB2312" w:eastAsia="楷体_GB2312"/>
                <w:b/>
                <w:color w:val="000000" w:themeColor="text1"/>
                <w:sz w:val="20"/>
                <w:szCs w:val="20"/>
              </w:rPr>
              <w:t>OHSMS事务代表协商和交流的情况（OHSMS填写）：</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通过员工选举</w:t>
            </w:r>
            <w:r>
              <w:rPr>
                <w:rFonts w:hint="eastAsia" w:cs="宋体" w:asciiTheme="minorEastAsia" w:hAnsiTheme="minorEastAsia" w:eastAsiaTheme="minorEastAsia"/>
                <w:szCs w:val="21"/>
                <w:lang w:eastAsia="zh-CN"/>
              </w:rPr>
              <w:t>范艳丽</w:t>
            </w:r>
            <w:r>
              <w:rPr>
                <w:rFonts w:hint="eastAsia" w:cs="宋体" w:asciiTheme="minorEastAsia" w:hAnsiTheme="minorEastAsia" w:eastAsiaTheme="minorEastAsia"/>
                <w:szCs w:val="21"/>
              </w:rPr>
              <w:t>为公司的职业健康安全事务代表。询问</w:t>
            </w:r>
            <w:r>
              <w:rPr>
                <w:rFonts w:hint="eastAsia" w:cs="宋体" w:asciiTheme="minorEastAsia" w:hAnsiTheme="minorEastAsia" w:eastAsiaTheme="minorEastAsia"/>
                <w:szCs w:val="21"/>
                <w:lang w:eastAsia="zh-CN"/>
              </w:rPr>
              <w:t>范艳丽</w:t>
            </w:r>
            <w:r>
              <w:rPr>
                <w:rFonts w:hint="eastAsia" w:cs="宋体" w:asciiTheme="minorEastAsia" w:hAnsiTheme="minorEastAsia" w:eastAsiaTheme="minorEastAsia"/>
                <w:szCs w:val="21"/>
              </w:rPr>
              <w:t>了解为该公司职业健康安全事务代表的职责：</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a)负责收集员工有关环境、职业健康安全的信息，及时将相关事宜提交管理者；</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b)负责协调员工与管理者进行信息的沟通和交流；</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c)参与组织环境和职业健康安全方针、目标及程序的制定和评审；</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d)负责向相关方宣传公司的环境和职业健康安全方针，收集相关方对环境和职业健康安全方面的反馈意见。</w:t>
            </w:r>
          </w:p>
          <w:p>
            <w:pPr>
              <w:spacing w:line="360" w:lineRule="exact"/>
              <w:rPr>
                <w:rFonts w:ascii="楷体_GB2312" w:hAnsi="楷体_GB2312" w:eastAsia="楷体_GB2312"/>
                <w:b/>
                <w:color w:val="000000" w:themeColor="text1"/>
                <w:szCs w:val="21"/>
              </w:rPr>
            </w:pPr>
            <w:r>
              <w:rPr>
                <w:rFonts w:ascii="楷体_GB2312" w:hAnsi="楷体_GB2312" w:eastAsia="楷体_GB2312"/>
                <w:b/>
                <w:color w:val="000000" w:themeColor="text1"/>
                <w:szCs w:val="21"/>
              </w:rPr>
              <w:t>与相关方协商的情况（OHSMS填写）：</w:t>
            </w:r>
            <w:r>
              <w:rPr>
                <w:rFonts w:asciiTheme="minorEastAsia" w:hAnsiTheme="minorEastAsia"/>
                <w:szCs w:val="21"/>
              </w:rPr>
              <w:t>通过发放《告相关方书》与相关方就相关</w:t>
            </w:r>
            <w:r>
              <w:rPr>
                <w:rFonts w:hint="eastAsia" w:asciiTheme="minorEastAsia" w:hAnsiTheme="minorEastAsia"/>
                <w:szCs w:val="21"/>
                <w:lang w:eastAsia="zh-CN"/>
              </w:rPr>
              <w:t>环境、职业健康安全</w:t>
            </w:r>
            <w:r>
              <w:rPr>
                <w:rFonts w:asciiTheme="minorEastAsia" w:hAnsiTheme="minorEastAsia"/>
                <w:szCs w:val="21"/>
              </w:rPr>
              <w:t>信息进行相互沟通。</w:t>
            </w:r>
          </w:p>
          <w:p>
            <w:pPr>
              <w:pStyle w:val="8"/>
              <w:widowControl w:val="0"/>
              <w:spacing w:line="240" w:lineRule="exact"/>
              <w:rPr>
                <w:rFonts w:ascii="楷体_GB2312" w:hAnsi="楷体_GB2312" w:eastAsia="楷体_GB2312"/>
                <w:b/>
                <w:color w:val="000000" w:themeColor="text1"/>
                <w:szCs w:val="21"/>
              </w:rPr>
            </w:pPr>
          </w:p>
        </w:tc>
      </w:tr>
      <w:tr>
        <w:tblPrEx>
          <w:tblCellMar>
            <w:top w:w="0" w:type="dxa"/>
            <w:left w:w="108" w:type="dxa"/>
            <w:bottom w:w="0" w:type="dxa"/>
            <w:right w:w="108" w:type="dxa"/>
          </w:tblCellMar>
        </w:tblPrEx>
        <w:trPr>
          <w:cantSplit/>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3.  QMS 组织对重要过程实施控制的结果</w:t>
            </w:r>
          </w:p>
          <w:p>
            <w:pPr>
              <w:pStyle w:val="8"/>
              <w:widowControl w:val="0"/>
              <w:spacing w:line="240" w:lineRule="exact"/>
              <w:ind w:left="188" w:hanging="100"/>
              <w:rPr>
                <w:b/>
                <w:color w:val="000000" w:themeColor="text1"/>
                <w:sz w:val="20"/>
                <w:szCs w:val="20"/>
              </w:rPr>
            </w:pPr>
            <w:r>
              <w:rPr>
                <w:b/>
                <w:color w:val="000000" w:themeColor="text1"/>
                <w:sz w:val="20"/>
                <w:szCs w:val="20"/>
              </w:rPr>
              <w:t>(包括对QMS关键工序(过程)、特殊过程控制;评价组织对过程实施控制情况/)</w:t>
            </w:r>
          </w:p>
          <w:p>
            <w:pPr>
              <w:pStyle w:val="8"/>
              <w:widowControl w:val="0"/>
              <w:spacing w:line="240" w:lineRule="exact"/>
              <w:ind w:firstLine="630" w:firstLineChars="300"/>
              <w:rPr>
                <w:rFonts w:hint="eastAsia" w:eastAsia="宋体"/>
                <w:b/>
                <w:color w:val="000000" w:themeColor="text1"/>
                <w:sz w:val="20"/>
                <w:szCs w:val="20"/>
                <w:lang w:eastAsia="zh-CN"/>
              </w:rPr>
            </w:pPr>
            <w:r>
              <w:rPr>
                <w:rFonts w:hint="eastAsia" w:ascii="宋体" w:hAnsi="宋体"/>
                <w:szCs w:val="21"/>
                <w:lang w:val="en-US" w:eastAsia="zh-CN"/>
              </w:rPr>
              <w:t>/</w:t>
            </w:r>
          </w:p>
        </w:tc>
      </w:tr>
      <w:tr>
        <w:tblPrEx>
          <w:tblCellMar>
            <w:top w:w="0" w:type="dxa"/>
            <w:left w:w="108" w:type="dxa"/>
            <w:bottom w:w="0" w:type="dxa"/>
            <w:right w:w="108" w:type="dxa"/>
          </w:tblCellMar>
        </w:tblPrEx>
        <w:trPr>
          <w:cantSplit/>
          <w:trHeight w:val="140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jc w:val="left"/>
              <w:rPr>
                <w:b/>
                <w:color w:val="000000" w:themeColor="text1"/>
                <w:sz w:val="20"/>
                <w:szCs w:val="20"/>
              </w:rPr>
            </w:pPr>
            <w:r>
              <w:rPr>
                <w:b/>
                <w:color w:val="000000" w:themeColor="text1"/>
                <w:sz w:val="20"/>
                <w:szCs w:val="20"/>
              </w:rPr>
              <w:t>4.QMS产品/服务的标准、协议/规范的有效性以及产品/服务质量符合要求，向顾客稳定提供合格产品的情况；</w:t>
            </w:r>
          </w:p>
          <w:p>
            <w:pPr>
              <w:pStyle w:val="8"/>
              <w:widowControl w:val="0"/>
              <w:spacing w:line="240" w:lineRule="exact"/>
              <w:ind w:firstLine="420" w:firstLineChars="200"/>
              <w:rPr>
                <w:rFonts w:hint="eastAsia" w:ascii="宋体" w:hAnsi="宋体" w:cs="宋体"/>
                <w:szCs w:val="22"/>
                <w:lang w:val="en-US" w:eastAsia="zh-CN"/>
              </w:rPr>
            </w:pPr>
            <w:r>
              <w:rPr>
                <w:rFonts w:hint="eastAsia" w:ascii="宋体" w:hAnsi="宋体" w:cs="宋体"/>
                <w:szCs w:val="22"/>
                <w:lang w:val="en-US" w:eastAsia="zh-CN"/>
              </w:rPr>
              <w:t>/</w:t>
            </w:r>
          </w:p>
          <w:p>
            <w:pPr>
              <w:pStyle w:val="8"/>
              <w:widowControl w:val="0"/>
              <w:spacing w:line="240" w:lineRule="exact"/>
              <w:rPr>
                <w:b/>
                <w:color w:val="000000" w:themeColor="text1"/>
                <w:sz w:val="20"/>
                <w:szCs w:val="20"/>
              </w:rPr>
            </w:pPr>
            <w:r>
              <w:rPr>
                <w:b/>
                <w:color w:val="000000" w:themeColor="text1"/>
                <w:sz w:val="20"/>
                <w:szCs w:val="20"/>
              </w:rPr>
              <w:t>(应说明相关证据)：</w:t>
            </w:r>
          </w:p>
          <w:p>
            <w:pPr>
              <w:pStyle w:val="8"/>
              <w:widowControl w:val="0"/>
              <w:spacing w:line="240" w:lineRule="exact"/>
              <w:rPr>
                <w:b/>
                <w:color w:val="000000" w:themeColor="text1"/>
                <w:sz w:val="20"/>
                <w:szCs w:val="20"/>
              </w:rPr>
            </w:pPr>
          </w:p>
        </w:tc>
      </w:tr>
      <w:tr>
        <w:tblPrEx>
          <w:tblCellMar>
            <w:top w:w="0" w:type="dxa"/>
            <w:left w:w="108" w:type="dxa"/>
            <w:bottom w:w="0" w:type="dxa"/>
            <w:right w:w="108" w:type="dxa"/>
          </w:tblCellMar>
        </w:tblPrEx>
        <w:trPr>
          <w:cantSplit/>
          <w:trHeight w:val="103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5 .QMS国家/地方技术监督部门监测（检测、委托检测、定期监测、型式试验等）、抽查结果</w:t>
            </w:r>
          </w:p>
          <w:p>
            <w:pPr>
              <w:pStyle w:val="8"/>
              <w:widowControl w:val="0"/>
              <w:ind w:firstLine="420"/>
              <w:rPr>
                <w:rFonts w:ascii="宋体" w:hAnsi="宋体" w:cs="宋体"/>
                <w:szCs w:val="22"/>
              </w:rPr>
            </w:pPr>
            <w:r>
              <w:rPr>
                <w:rFonts w:hint="eastAsia" w:ascii="宋体" w:hAnsi="宋体" w:cs="宋体"/>
                <w:szCs w:val="22"/>
                <w:lang w:val="en-US" w:eastAsia="zh-CN"/>
              </w:rPr>
              <w:t>/</w:t>
            </w:r>
          </w:p>
          <w:p>
            <w:pPr>
              <w:pStyle w:val="8"/>
              <w:widowControl w:val="0"/>
              <w:spacing w:line="300" w:lineRule="exact"/>
              <w:ind w:firstLine="197"/>
              <w:rPr>
                <w:b/>
                <w:color w:val="000000" w:themeColor="text1"/>
                <w:sz w:val="20"/>
                <w:szCs w:val="20"/>
              </w:rPr>
            </w:pPr>
            <w:r>
              <w:rPr>
                <w:b/>
                <w:color w:val="000000" w:themeColor="text1"/>
                <w:sz w:val="20"/>
                <w:szCs w:val="20"/>
              </w:rPr>
              <w:t>（附相关证据）：</w:t>
            </w:r>
          </w:p>
        </w:tc>
      </w:tr>
      <w:tr>
        <w:tblPrEx>
          <w:tblCellMar>
            <w:top w:w="0" w:type="dxa"/>
            <w:left w:w="108" w:type="dxa"/>
            <w:bottom w:w="0" w:type="dxa"/>
            <w:right w:w="108" w:type="dxa"/>
          </w:tblCellMar>
        </w:tblPrEx>
        <w:trPr>
          <w:cantSplit/>
          <w:trHeight w:val="73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pacing w:val="-8"/>
                <w:sz w:val="20"/>
                <w:szCs w:val="20"/>
              </w:rPr>
            </w:pPr>
            <w:r>
              <w:rPr>
                <w:b/>
                <w:color w:val="000000" w:themeColor="text1"/>
                <w:sz w:val="20"/>
                <w:szCs w:val="20"/>
              </w:rPr>
              <w:t xml:space="preserve">6. </w:t>
            </w:r>
            <w:r>
              <w:rPr>
                <w:b/>
                <w:color w:val="000000" w:themeColor="text1"/>
                <w:spacing w:val="-8"/>
                <w:sz w:val="20"/>
                <w:szCs w:val="20"/>
              </w:rPr>
              <w:t>不合格品/项的识别、控制;</w:t>
            </w:r>
          </w:p>
          <w:p>
            <w:pPr>
              <w:pStyle w:val="8"/>
              <w:widowControl w:val="0"/>
              <w:spacing w:line="240" w:lineRule="exact"/>
              <w:ind w:firstLine="210"/>
              <w:rPr>
                <w:rFonts w:hint="eastAsia" w:eastAsia="宋体"/>
                <w:b/>
                <w:color w:val="000000" w:themeColor="text1"/>
                <w:sz w:val="20"/>
                <w:szCs w:val="20"/>
                <w:lang w:eastAsia="zh-CN"/>
              </w:rPr>
            </w:pPr>
            <w:r>
              <w:rPr>
                <w:rFonts w:hint="eastAsia" w:ascii="宋体" w:hAnsi="宋体" w:cs="宋体"/>
                <w:szCs w:val="22"/>
                <w:lang w:val="en-US" w:eastAsia="zh-CN"/>
              </w:rPr>
              <w:t>/</w:t>
            </w:r>
          </w:p>
        </w:tc>
      </w:tr>
      <w:tr>
        <w:tblPrEx>
          <w:tblCellMar>
            <w:top w:w="0" w:type="dxa"/>
            <w:left w:w="108" w:type="dxa"/>
            <w:bottom w:w="0" w:type="dxa"/>
            <w:right w:w="108" w:type="dxa"/>
          </w:tblCellMar>
        </w:tblPrEx>
        <w:trPr>
          <w:cantSplit/>
          <w:trHeight w:val="402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7. EMS组织对重要环境因素实施控制的结果</w:t>
            </w:r>
          </w:p>
          <w:p>
            <w:pPr>
              <w:pStyle w:val="8"/>
              <w:widowControl w:val="0"/>
              <w:spacing w:line="240" w:lineRule="exact"/>
              <w:rPr>
                <w:b/>
                <w:color w:val="000000" w:themeColor="text1"/>
                <w:sz w:val="20"/>
                <w:szCs w:val="20"/>
              </w:rPr>
            </w:pPr>
            <w:r>
              <w:rPr>
                <w:b/>
                <w:color w:val="000000" w:themeColor="text1"/>
                <w:sz w:val="20"/>
                <w:szCs w:val="20"/>
              </w:rPr>
              <w:t>（EMS对重要环境因素控制，重大环境因素对周边环境产生的影响及控制;对相关方施加影响）</w:t>
            </w:r>
          </w:p>
          <w:p>
            <w:pPr>
              <w:pStyle w:val="8"/>
              <w:widowControl w:val="0"/>
              <w:ind w:firstLine="420"/>
              <w:jc w:val="left"/>
              <w:rPr>
                <w:rFonts w:ascii="宋体" w:hAnsi="宋体" w:cs="宋体"/>
                <w:szCs w:val="22"/>
              </w:rPr>
            </w:pPr>
            <w:r>
              <w:rPr>
                <w:rFonts w:ascii="宋体" w:hAnsi="宋体" w:cs="宋体"/>
                <w:szCs w:val="22"/>
              </w:rPr>
              <w:t>1、废水管控：企业无工业废水，生活废水流入市政管网。</w:t>
            </w:r>
          </w:p>
          <w:p>
            <w:pPr>
              <w:pStyle w:val="8"/>
              <w:widowControl w:val="0"/>
              <w:ind w:firstLine="420"/>
              <w:jc w:val="left"/>
              <w:rPr>
                <w:rFonts w:ascii="宋体" w:hAnsi="宋体" w:cs="宋体"/>
                <w:szCs w:val="22"/>
              </w:rPr>
            </w:pPr>
            <w:r>
              <w:rPr>
                <w:rFonts w:ascii="宋体" w:hAnsi="宋体" w:cs="宋体"/>
                <w:szCs w:val="22"/>
              </w:rPr>
              <w:t>2、噪声管控：定期对车辆和设备维护保养确保完好正常，禁止随意鸣笛，采用环保设备。</w:t>
            </w:r>
          </w:p>
          <w:p>
            <w:pPr>
              <w:pStyle w:val="8"/>
              <w:widowControl w:val="0"/>
              <w:ind w:firstLine="420"/>
              <w:jc w:val="left"/>
              <w:rPr>
                <w:rFonts w:ascii="宋体" w:hAnsi="宋体" w:cs="宋体"/>
                <w:szCs w:val="22"/>
              </w:rPr>
            </w:pPr>
            <w:r>
              <w:rPr>
                <w:rFonts w:hint="eastAsia" w:ascii="宋体" w:hAnsi="宋体" w:cs="宋体"/>
                <w:szCs w:val="22"/>
                <w:lang w:val="en-US" w:eastAsia="zh-CN"/>
              </w:rPr>
              <w:t>3</w:t>
            </w:r>
            <w:r>
              <w:rPr>
                <w:rFonts w:ascii="宋体" w:hAnsi="宋体" w:cs="宋体"/>
                <w:szCs w:val="22"/>
              </w:rPr>
              <w:t>、固废管控：目前危险办公废旧有硒鼓/墨盒</w:t>
            </w:r>
            <w:r>
              <w:rPr>
                <w:rFonts w:hint="eastAsia" w:ascii="宋体" w:hAnsi="宋体" w:cs="宋体"/>
                <w:szCs w:val="22"/>
                <w:lang w:val="en-US" w:eastAsia="zh-CN"/>
              </w:rPr>
              <w:t>等</w:t>
            </w:r>
            <w:r>
              <w:rPr>
                <w:rFonts w:ascii="宋体" w:hAnsi="宋体" w:cs="宋体"/>
                <w:szCs w:val="22"/>
              </w:rPr>
              <w:t>，由供应商回收处置。生活垃圾由环卫部门处理，公司缴纳处理费，可外卖或再利用的</w:t>
            </w:r>
            <w:r>
              <w:rPr>
                <w:rFonts w:hint="eastAsia" w:ascii="宋体" w:hAnsi="宋体" w:cs="宋体"/>
                <w:szCs w:val="22"/>
                <w:lang w:val="en-US" w:eastAsia="zh-CN"/>
              </w:rPr>
              <w:t>专有资质公司</w:t>
            </w:r>
            <w:r>
              <w:rPr>
                <w:rFonts w:ascii="宋体" w:hAnsi="宋体" w:cs="宋体"/>
                <w:szCs w:val="22"/>
              </w:rPr>
              <w:t>处理。</w:t>
            </w:r>
          </w:p>
          <w:p>
            <w:pPr>
              <w:pStyle w:val="8"/>
              <w:widowControl w:val="0"/>
              <w:ind w:firstLine="420"/>
              <w:jc w:val="left"/>
              <w:rPr>
                <w:rFonts w:ascii="宋体" w:hAnsi="宋体" w:cs="宋体"/>
                <w:szCs w:val="22"/>
              </w:rPr>
            </w:pPr>
            <w:r>
              <w:rPr>
                <w:rFonts w:hint="eastAsia" w:ascii="宋体" w:hAnsi="宋体" w:cs="宋体"/>
                <w:szCs w:val="22"/>
                <w:lang w:val="en-US" w:eastAsia="zh-CN"/>
              </w:rPr>
              <w:t>4</w:t>
            </w:r>
            <w:r>
              <w:rPr>
                <w:rFonts w:ascii="宋体" w:hAnsi="宋体" w:cs="宋体"/>
                <w:szCs w:val="22"/>
              </w:rPr>
              <w:t>、能源资源管控：注意节水、节电，人走关闭设备和照明开关，现场未发现有漏水和浪费电能的现象。</w:t>
            </w:r>
          </w:p>
          <w:p>
            <w:pPr>
              <w:pStyle w:val="8"/>
              <w:widowControl w:val="0"/>
              <w:ind w:firstLine="420"/>
              <w:jc w:val="left"/>
              <w:rPr>
                <w:rFonts w:ascii="宋体" w:hAnsi="宋体" w:cs="宋体"/>
                <w:szCs w:val="22"/>
              </w:rPr>
            </w:pPr>
            <w:r>
              <w:rPr>
                <w:rFonts w:hint="eastAsia" w:ascii="宋体" w:hAnsi="宋体" w:cs="宋体"/>
                <w:szCs w:val="22"/>
                <w:lang w:val="en-US" w:eastAsia="zh-CN"/>
              </w:rPr>
              <w:t>5</w:t>
            </w:r>
            <w:r>
              <w:rPr>
                <w:rFonts w:ascii="宋体" w:hAnsi="宋体" w:cs="宋体"/>
                <w:szCs w:val="22"/>
              </w:rPr>
              <w:t>、产品生命周期的环境管控：公司采购产品时已考虑了产品的环保性（包括其包装），严格按照环保等管理制度实施，避免浪费，生命周期终了时废旧包装物回收再利用。</w:t>
            </w:r>
          </w:p>
          <w:p>
            <w:pPr>
              <w:pStyle w:val="8"/>
              <w:widowControl w:val="0"/>
              <w:ind w:firstLine="420"/>
              <w:jc w:val="left"/>
              <w:rPr>
                <w:rFonts w:hint="default" w:ascii="宋体" w:hAnsi="宋体" w:eastAsia="宋体" w:cs="宋体"/>
                <w:szCs w:val="22"/>
                <w:lang w:val="en-US" w:eastAsia="zh-CN"/>
              </w:rPr>
            </w:pPr>
            <w:r>
              <w:rPr>
                <w:rFonts w:hint="eastAsia" w:ascii="宋体" w:hAnsi="宋体" w:cs="宋体"/>
                <w:szCs w:val="22"/>
                <w:lang w:val="en-US" w:eastAsia="zh-CN"/>
              </w:rPr>
              <w:t>6、</w:t>
            </w:r>
            <w:r>
              <w:rPr>
                <w:rFonts w:ascii="宋体" w:hAnsi="宋体" w:cs="宋体"/>
                <w:szCs w:val="22"/>
              </w:rPr>
              <w:t>潜在火灾管控：配备灭火器、消防栓</w:t>
            </w:r>
            <w:r>
              <w:rPr>
                <w:rFonts w:hint="eastAsia" w:ascii="宋体" w:hAnsi="宋体" w:cs="宋体"/>
                <w:szCs w:val="22"/>
                <w:lang w:eastAsia="zh-CN"/>
              </w:rPr>
              <w:t>，</w:t>
            </w:r>
            <w:r>
              <w:rPr>
                <w:rFonts w:hint="eastAsia" w:ascii="宋体" w:hAnsi="宋体" w:cs="宋体"/>
                <w:szCs w:val="22"/>
                <w:lang w:val="en-US" w:eastAsia="zh-CN"/>
              </w:rPr>
              <w:t>禁止烟、火。</w:t>
            </w:r>
            <w:r>
              <w:rPr>
                <w:rFonts w:hint="eastAsia" w:ascii="方正仿宋简体" w:eastAsia="方正仿宋简体"/>
                <w:b/>
                <w:lang w:val="en-US" w:eastAsia="zh-CN"/>
              </w:rPr>
              <w:t xml:space="preserve"> 业务部办公活动区域未提供出消防设施正常完好情况日常管理证据</w:t>
            </w:r>
            <w:r>
              <w:rPr>
                <w:rFonts w:hint="eastAsia" w:ascii="宋体" w:hAnsi="宋体" w:cs="宋体"/>
                <w:szCs w:val="22"/>
                <w:lang w:val="en-US" w:eastAsia="zh-CN"/>
              </w:rPr>
              <w:t>，已提出书面问题，见不合格报告及纠正措施表。</w:t>
            </w:r>
          </w:p>
          <w:p>
            <w:pPr>
              <w:pStyle w:val="8"/>
              <w:widowControl w:val="0"/>
              <w:spacing w:line="240" w:lineRule="exact"/>
              <w:ind w:firstLine="420"/>
              <w:rPr>
                <w:b/>
                <w:color w:val="000000" w:themeColor="text1"/>
                <w:sz w:val="20"/>
                <w:szCs w:val="20"/>
              </w:rPr>
            </w:pPr>
            <w:r>
              <w:rPr>
                <w:rFonts w:hint="eastAsia" w:ascii="宋体" w:hAnsi="宋体" w:cs="宋体"/>
                <w:szCs w:val="22"/>
                <w:lang w:val="en-US" w:eastAsia="zh-CN"/>
              </w:rPr>
              <w:t>7、</w:t>
            </w:r>
            <w:r>
              <w:rPr>
                <w:rFonts w:ascii="宋体" w:hAnsi="宋体" w:cs="宋体"/>
                <w:szCs w:val="22"/>
              </w:rPr>
              <w:t>对相关方进行环保要求发告之函进行告知。</w:t>
            </w:r>
          </w:p>
        </w:tc>
      </w:tr>
      <w:tr>
        <w:tblPrEx>
          <w:tblCellMar>
            <w:top w:w="0" w:type="dxa"/>
            <w:left w:w="108" w:type="dxa"/>
            <w:bottom w:w="0" w:type="dxa"/>
            <w:right w:w="108" w:type="dxa"/>
          </w:tblCellMar>
        </w:tblPrEx>
        <w:trPr>
          <w:cantSplit/>
          <w:trHeight w:val="338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8. OHSMS组织对不可接受风险实施控制的结果</w:t>
            </w:r>
          </w:p>
          <w:p>
            <w:pPr>
              <w:pStyle w:val="8"/>
              <w:widowControl w:val="0"/>
              <w:ind w:firstLine="420"/>
              <w:jc w:val="left"/>
              <w:rPr>
                <w:rFonts w:hint="default" w:ascii="宋体" w:hAnsi="宋体" w:eastAsia="宋体" w:cs="宋体"/>
                <w:szCs w:val="22"/>
                <w:lang w:val="en-US" w:eastAsia="zh-CN"/>
              </w:rPr>
            </w:pPr>
            <w:r>
              <w:rPr>
                <w:rFonts w:ascii="宋体" w:hAnsi="宋体" w:cs="宋体"/>
                <w:szCs w:val="22"/>
              </w:rPr>
              <w:t>1、潜在火灾管控：配备灭火器、消防栓</w:t>
            </w:r>
            <w:r>
              <w:rPr>
                <w:rFonts w:hint="eastAsia" w:ascii="宋体" w:hAnsi="宋体" w:cs="宋体"/>
                <w:szCs w:val="22"/>
                <w:lang w:eastAsia="zh-CN"/>
              </w:rPr>
              <w:t>，</w:t>
            </w:r>
            <w:r>
              <w:rPr>
                <w:rFonts w:hint="eastAsia" w:ascii="宋体" w:hAnsi="宋体" w:cs="宋体"/>
                <w:szCs w:val="22"/>
                <w:lang w:val="en-US" w:eastAsia="zh-CN"/>
              </w:rPr>
              <w:t>禁止动烟、动火，人员进行消防知识培训。</w:t>
            </w:r>
            <w:r>
              <w:rPr>
                <w:rFonts w:hint="eastAsia" w:ascii="方正仿宋简体" w:eastAsia="方正仿宋简体"/>
                <w:b/>
                <w:lang w:val="en-US" w:eastAsia="zh-CN"/>
              </w:rPr>
              <w:t xml:space="preserve"> 业务部办公活动区域未提供出消防设施正常完好情况日常管理证据</w:t>
            </w:r>
            <w:r>
              <w:rPr>
                <w:rFonts w:hint="eastAsia" w:ascii="宋体" w:hAnsi="宋体" w:cs="宋体"/>
                <w:szCs w:val="22"/>
                <w:lang w:val="en-US" w:eastAsia="zh-CN"/>
              </w:rPr>
              <w:t>，已提出书面问题，见不合格报告及纠正措施表。</w:t>
            </w:r>
          </w:p>
          <w:p>
            <w:pPr>
              <w:pStyle w:val="8"/>
              <w:widowControl w:val="0"/>
              <w:ind w:firstLine="420"/>
              <w:jc w:val="left"/>
              <w:rPr>
                <w:rFonts w:hint="default" w:ascii="宋体" w:hAnsi="宋体" w:eastAsia="宋体" w:cs="宋体"/>
                <w:szCs w:val="22"/>
                <w:lang w:val="en-US" w:eastAsia="zh-CN"/>
              </w:rPr>
            </w:pPr>
            <w:r>
              <w:rPr>
                <w:rFonts w:ascii="宋体" w:hAnsi="宋体" w:cs="宋体"/>
                <w:szCs w:val="22"/>
              </w:rPr>
              <w:t>2、安全防护：公司给员工发放手套、口罩、工作服等劳保用品，现场电线布线合理，漏电保护器状态良好。</w:t>
            </w:r>
          </w:p>
          <w:p>
            <w:pPr>
              <w:pStyle w:val="8"/>
              <w:widowControl w:val="0"/>
              <w:ind w:firstLine="420"/>
              <w:jc w:val="left"/>
              <w:rPr>
                <w:rFonts w:ascii="宋体" w:hAnsi="宋体" w:cs="宋体"/>
                <w:szCs w:val="22"/>
              </w:rPr>
            </w:pPr>
            <w:r>
              <w:rPr>
                <w:rFonts w:ascii="宋体" w:hAnsi="宋体" w:cs="宋体"/>
                <w:szCs w:val="22"/>
              </w:rPr>
              <w:t>3、为员工上</w:t>
            </w:r>
            <w:r>
              <w:rPr>
                <w:rFonts w:hint="eastAsia" w:ascii="宋体" w:hAnsi="宋体" w:cs="宋体"/>
                <w:szCs w:val="22"/>
                <w:lang w:val="en-US" w:eastAsia="zh-CN"/>
              </w:rPr>
              <w:t>意外</w:t>
            </w:r>
            <w:r>
              <w:rPr>
                <w:rFonts w:ascii="宋体" w:hAnsi="宋体" w:cs="宋体"/>
                <w:szCs w:val="22"/>
              </w:rPr>
              <w:t>保险，进行</w:t>
            </w:r>
            <w:r>
              <w:rPr>
                <w:rFonts w:hint="eastAsia" w:ascii="宋体" w:hAnsi="宋体" w:cs="宋体"/>
                <w:szCs w:val="22"/>
                <w:lang w:val="en-US" w:eastAsia="zh-CN"/>
              </w:rPr>
              <w:t>管理制度和</w:t>
            </w:r>
            <w:r>
              <w:rPr>
                <w:rFonts w:ascii="宋体" w:hAnsi="宋体" w:cs="宋体"/>
                <w:szCs w:val="22"/>
              </w:rPr>
              <w:t>安全知识培训。</w:t>
            </w:r>
          </w:p>
          <w:p>
            <w:pPr>
              <w:pStyle w:val="8"/>
              <w:widowControl w:val="0"/>
              <w:ind w:firstLine="420"/>
              <w:jc w:val="left"/>
              <w:rPr>
                <w:rFonts w:ascii="宋体" w:hAnsi="宋体" w:cs="宋体"/>
                <w:szCs w:val="22"/>
              </w:rPr>
            </w:pPr>
            <w:r>
              <w:rPr>
                <w:rFonts w:ascii="宋体" w:hAnsi="宋体" w:cs="宋体"/>
                <w:szCs w:val="22"/>
              </w:rPr>
              <w:t>4、为职业健康安全管理体系运行提供了财务支持。</w:t>
            </w:r>
          </w:p>
          <w:p>
            <w:pPr>
              <w:pStyle w:val="8"/>
              <w:widowControl w:val="0"/>
              <w:ind w:firstLine="420"/>
              <w:jc w:val="left"/>
              <w:rPr>
                <w:rFonts w:hint="default" w:ascii="宋体" w:hAnsi="宋体" w:eastAsia="宋体" w:cs="宋体"/>
                <w:szCs w:val="22"/>
                <w:lang w:val="en-US" w:eastAsia="zh-CN"/>
              </w:rPr>
            </w:pPr>
            <w:r>
              <w:rPr>
                <w:rFonts w:ascii="宋体" w:hAnsi="宋体" w:cs="宋体"/>
                <w:szCs w:val="22"/>
              </w:rPr>
              <w:t>5</w:t>
            </w:r>
            <w:r>
              <w:rPr>
                <w:rFonts w:hint="eastAsia" w:ascii="宋体" w:hAnsi="宋体" w:cs="宋体"/>
                <w:szCs w:val="22"/>
                <w:lang w:eastAsia="zh-CN"/>
              </w:rPr>
              <w:t>、</w:t>
            </w:r>
            <w:r>
              <w:rPr>
                <w:rFonts w:hint="eastAsia" w:ascii="宋体" w:hAnsi="宋体" w:cs="宋体"/>
                <w:szCs w:val="22"/>
                <w:lang w:val="en-US" w:eastAsia="zh-CN"/>
              </w:rPr>
              <w:t>高温天气增加午休时间，保障员工喝水方便、车间通风或降温处理。</w:t>
            </w:r>
          </w:p>
          <w:p>
            <w:pPr>
              <w:pStyle w:val="8"/>
              <w:widowControl w:val="0"/>
              <w:spacing w:line="240" w:lineRule="exact"/>
              <w:ind w:firstLine="420"/>
              <w:rPr>
                <w:rFonts w:ascii="宋体" w:hAnsi="宋体" w:cs="宋体"/>
                <w:szCs w:val="22"/>
              </w:rPr>
            </w:pPr>
            <w:r>
              <w:rPr>
                <w:rFonts w:ascii="宋体" w:hAnsi="宋体" w:cs="宋体"/>
                <w:szCs w:val="22"/>
              </w:rPr>
              <w:t>6、对相关方进行职业健康安全要求告知。</w:t>
            </w:r>
          </w:p>
          <w:p>
            <w:pPr>
              <w:pStyle w:val="8"/>
              <w:widowControl w:val="0"/>
              <w:spacing w:line="240" w:lineRule="exact"/>
              <w:ind w:firstLine="420"/>
              <w:rPr>
                <w:rFonts w:hint="default" w:ascii="宋体" w:hAnsi="宋体" w:eastAsia="宋体" w:cs="宋体"/>
                <w:szCs w:val="22"/>
                <w:lang w:val="en-US" w:eastAsia="zh-CN"/>
              </w:rPr>
            </w:pPr>
            <w:r>
              <w:rPr>
                <w:rFonts w:hint="eastAsia" w:ascii="宋体" w:hAnsi="宋体" w:cs="宋体"/>
                <w:szCs w:val="22"/>
                <w:lang w:val="en-US" w:eastAsia="zh-CN"/>
              </w:rPr>
              <w:t>7、根据疫情防控要求，提醒员工不要聚集、配带口罩，入公司进行体温测量。</w:t>
            </w:r>
          </w:p>
        </w:tc>
      </w:tr>
      <w:tr>
        <w:tblPrEx>
          <w:tblCellMar>
            <w:top w:w="0" w:type="dxa"/>
            <w:left w:w="108" w:type="dxa"/>
            <w:bottom w:w="0" w:type="dxa"/>
            <w:right w:w="108" w:type="dxa"/>
          </w:tblCellMar>
        </w:tblPrEx>
        <w:trPr>
          <w:cantSplit/>
          <w:trHeight w:val="335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ind w:left="201" w:hanging="201"/>
              <w:rPr>
                <w:b/>
                <w:color w:val="000000" w:themeColor="text1"/>
                <w:sz w:val="20"/>
                <w:szCs w:val="20"/>
              </w:rPr>
            </w:pPr>
            <w:r>
              <w:rPr>
                <w:b/>
                <w:color w:val="000000" w:themeColor="text1"/>
                <w:sz w:val="20"/>
                <w:szCs w:val="20"/>
              </w:rPr>
              <w:t>9. 应急准备与相应活动的演练及对预案可行性的评价(当有规定时)</w:t>
            </w:r>
          </w:p>
          <w:p>
            <w:pPr>
              <w:ind w:left="357"/>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提供火灾事故应急预案、触电事故专项应急预案、高</w:t>
            </w:r>
          </w:p>
          <w:p>
            <w:pP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温中暑应急处置方案，有危害分析/应急原则、应急小组及分工、预防和预警、应急处理流程、应急培训/检查要求等。</w:t>
            </w:r>
          </w:p>
          <w:p>
            <w:pPr>
              <w:ind w:left="357"/>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抽2021.6.20日进行触电事故应急演练，记录演练过程、对演练情况总结，演练后形成报告，结论：通过这次演练，使我公司广大员工深刻的学习了关于触电的安全生产知识，提高了安全生产意识，并掌握了在触电事故发生后如何就地开展抢救工作，挽救员工的生命；</w:t>
            </w:r>
          </w:p>
          <w:p>
            <w:pPr>
              <w:pStyle w:val="8"/>
              <w:widowControl w:val="0"/>
              <w:ind w:firstLine="42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预案评审结论：公司制定的应急预案和响应措施，具有可操作性、充分、适宜，能满足应急响应的要求。</w:t>
            </w:r>
          </w:p>
          <w:p>
            <w:pPr>
              <w:pStyle w:val="8"/>
              <w:widowControl w:val="0"/>
              <w:ind w:firstLine="420"/>
              <w:rPr>
                <w:b/>
                <w:color w:val="000000" w:themeColor="text1"/>
                <w:spacing w:val="-4"/>
                <w:sz w:val="20"/>
                <w:szCs w:val="20"/>
              </w:rPr>
            </w:pPr>
            <w:r>
              <w:rPr>
                <w:rFonts w:hint="eastAsia" w:cs="宋体" w:asciiTheme="minorEastAsia" w:hAnsiTheme="minorEastAsia" w:eastAsiaTheme="minorEastAsia"/>
                <w:szCs w:val="21"/>
                <w:lang w:val="en-US" w:eastAsia="zh-CN"/>
              </w:rPr>
              <w:t>自体系运行以来尚未发生紧急情况。</w:t>
            </w:r>
            <w:r>
              <w:rPr>
                <w:szCs w:val="22"/>
              </w:rPr>
              <w:t>现场查看办公区消防器材状态正常。</w:t>
            </w:r>
          </w:p>
        </w:tc>
      </w:tr>
      <w:tr>
        <w:tblPrEx>
          <w:tblCellMar>
            <w:top w:w="0" w:type="dxa"/>
            <w:left w:w="108" w:type="dxa"/>
            <w:bottom w:w="0" w:type="dxa"/>
            <w:right w:w="108" w:type="dxa"/>
          </w:tblCellMar>
        </w:tblPrEx>
        <w:trPr>
          <w:cantSplit/>
          <w:trHeight w:val="74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10. 对特种设备的维护，检定;</w:t>
            </w:r>
          </w:p>
          <w:p>
            <w:pPr>
              <w:pStyle w:val="8"/>
              <w:widowControl w:val="0"/>
              <w:spacing w:line="240" w:lineRule="exact"/>
              <w:ind w:firstLine="420" w:firstLineChars="200"/>
              <w:rPr>
                <w:b/>
                <w:color w:val="000000" w:themeColor="text1"/>
                <w:sz w:val="20"/>
                <w:szCs w:val="20"/>
              </w:rPr>
            </w:pPr>
            <w:r>
              <w:rPr>
                <w:rFonts w:hint="eastAsia" w:ascii="宋体" w:hAnsi="宋体" w:cs="宋体"/>
                <w:szCs w:val="22"/>
                <w:lang w:val="en-US" w:eastAsia="zh-CN"/>
              </w:rPr>
              <w:t>本公司无特种设备</w:t>
            </w:r>
            <w:r>
              <w:rPr>
                <w:rFonts w:ascii="宋体" w:hAnsi="宋体" w:cs="宋体"/>
                <w:szCs w:val="22"/>
              </w:rPr>
              <w:t>。</w:t>
            </w:r>
          </w:p>
        </w:tc>
      </w:tr>
      <w:tr>
        <w:tblPrEx>
          <w:tblCellMar>
            <w:top w:w="0" w:type="dxa"/>
            <w:left w:w="108" w:type="dxa"/>
            <w:bottom w:w="0" w:type="dxa"/>
            <w:right w:w="108" w:type="dxa"/>
          </w:tblCellMar>
        </w:tblPrEx>
        <w:trPr>
          <w:cantSplit/>
          <w:trHeight w:val="47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11 .对危险化学品销售、使用、储存、运输处置，规定的执行力度(必要时);</w:t>
            </w:r>
          </w:p>
          <w:p>
            <w:pPr>
              <w:pStyle w:val="8"/>
              <w:widowControl w:val="0"/>
              <w:spacing w:line="240" w:lineRule="exact"/>
              <w:ind w:firstLine="420" w:firstLineChars="200"/>
              <w:rPr>
                <w:b/>
                <w:color w:val="000000" w:themeColor="text1"/>
                <w:sz w:val="20"/>
                <w:szCs w:val="20"/>
              </w:rPr>
            </w:pPr>
            <w:r>
              <w:rPr>
                <w:rFonts w:ascii="宋体" w:hAnsi="宋体" w:cs="宋体"/>
                <w:szCs w:val="22"/>
              </w:rPr>
              <w:t>无</w:t>
            </w:r>
          </w:p>
        </w:tc>
      </w:tr>
      <w:tr>
        <w:tblPrEx>
          <w:tblCellMar>
            <w:top w:w="0" w:type="dxa"/>
            <w:left w:w="108" w:type="dxa"/>
            <w:bottom w:w="0" w:type="dxa"/>
            <w:right w:w="108" w:type="dxa"/>
          </w:tblCellMar>
        </w:tblPrEx>
        <w:trPr>
          <w:cantSplit/>
          <w:trHeight w:val="141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r>
              <w:rPr>
                <w:b/>
                <w:color w:val="000000" w:themeColor="text1"/>
                <w:szCs w:val="21"/>
              </w:rPr>
              <w:t>(四)监视测量方面</w:t>
            </w: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ind w:left="100" w:hanging="100"/>
              <w:rPr>
                <w:b/>
                <w:color w:val="000000" w:themeColor="text1"/>
                <w:sz w:val="20"/>
                <w:szCs w:val="20"/>
              </w:rPr>
            </w:pPr>
            <w:r>
              <w:rPr>
                <w:b/>
                <w:color w:val="000000" w:themeColor="text1"/>
                <w:sz w:val="20"/>
                <w:szCs w:val="20"/>
              </w:rPr>
              <w:t>1. .对质量/环境/职业健康安全目标指标进行定期监测/检查情况</w:t>
            </w:r>
          </w:p>
          <w:p>
            <w:pPr>
              <w:spacing w:line="280" w:lineRule="exact"/>
              <w:ind w:firstLine="420" w:firstLineChars="20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提供</w:t>
            </w:r>
            <w:r>
              <w:rPr>
                <w:rFonts w:hint="eastAsia" w:cs="宋体" w:asciiTheme="minorEastAsia" w:hAnsiTheme="minorEastAsia" w:eastAsiaTheme="minorEastAsia"/>
                <w:szCs w:val="21"/>
                <w:highlight w:val="none"/>
                <w:lang w:val="en-US" w:eastAsia="zh-CN"/>
              </w:rPr>
              <w:t>2021年环境、职业健康安全目标分解、达成统计表：</w:t>
            </w:r>
          </w:p>
          <w:p>
            <w:pPr>
              <w:spacing w:line="280" w:lineRule="exact"/>
              <w:ind w:firstLine="420" w:firstLineChars="20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从4月开始每月进行公司级目标及分解目标完成情况统计，并进行记录，均达成。</w:t>
            </w:r>
          </w:p>
          <w:p>
            <w:pPr>
              <w:ind w:firstLine="420" w:firstLineChars="200"/>
              <w:jc w:val="left"/>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lang w:val="en-US" w:eastAsia="zh-CN"/>
              </w:rPr>
              <w:t>职业健康安全管理方案：2项  触电和意外伤害</w:t>
            </w:r>
          </w:p>
          <w:p>
            <w:pPr>
              <w:spacing w:line="280" w:lineRule="exact"/>
              <w:ind w:firstLine="420" w:firstLineChars="20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有</w:t>
            </w:r>
            <w:r>
              <w:rPr>
                <w:rFonts w:hint="eastAsia" w:cs="宋体" w:asciiTheme="minorEastAsia" w:hAnsiTheme="minorEastAsia" w:eastAsiaTheme="minorEastAsia"/>
                <w:szCs w:val="21"/>
                <w:highlight w:val="none"/>
              </w:rPr>
              <w:t>2021.7</w:t>
            </w:r>
            <w:r>
              <w:rPr>
                <w:rFonts w:hint="eastAsia" w:cs="宋体" w:asciiTheme="minorEastAsia" w:hAnsiTheme="minorEastAsia" w:eastAsiaTheme="minorEastAsia"/>
                <w:szCs w:val="21"/>
                <w:highlight w:val="none"/>
                <w:lang w:val="en-US" w:eastAsia="zh-CN"/>
              </w:rPr>
              <w:t>.31职业健康安全管理方案跟进检查记录：记录目标、方法及方案执行情况，按措施执行中；</w:t>
            </w:r>
          </w:p>
          <w:p>
            <w:pPr>
              <w:spacing w:line="280" w:lineRule="exact"/>
              <w:ind w:firstLine="420" w:firstLineChars="20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lang w:val="en-US" w:eastAsia="zh-CN"/>
              </w:rPr>
              <w:t>有固废处理、火灾环境管理方案：因素、现状、目标指标和管理方案、时限、负责部门；</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highlight w:val="none"/>
                <w:lang w:val="en-US" w:eastAsia="zh-CN"/>
              </w:rPr>
              <w:t>有2021</w:t>
            </w:r>
            <w:r>
              <w:rPr>
                <w:rFonts w:hint="eastAsia"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lang w:val="en-US" w:eastAsia="zh-CN"/>
              </w:rPr>
              <w:t>.31环境管理方案跟进检查记录：完成情况按措施实施中。</w:t>
            </w:r>
          </w:p>
          <w:p>
            <w:pPr>
              <w:pStyle w:val="8"/>
              <w:widowControl w:val="0"/>
              <w:spacing w:line="240" w:lineRule="exact"/>
              <w:ind w:firstLine="100"/>
              <w:rPr>
                <w:b/>
                <w:color w:val="000000" w:themeColor="text1"/>
                <w:sz w:val="20"/>
                <w:szCs w:val="20"/>
              </w:rPr>
            </w:pPr>
          </w:p>
        </w:tc>
      </w:tr>
      <w:tr>
        <w:tblPrEx>
          <w:tblCellMar>
            <w:top w:w="0" w:type="dxa"/>
            <w:left w:w="108" w:type="dxa"/>
            <w:bottom w:w="0" w:type="dxa"/>
            <w:right w:w="108" w:type="dxa"/>
          </w:tblCellMar>
        </w:tblPrEx>
        <w:trPr>
          <w:cantSplit/>
          <w:trHeight w:val="5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113" w:right="113" w:firstLine="0"/>
              <w:jc w:val="center"/>
              <w:rPr>
                <w:b/>
                <w:color w:val="000000" w:themeColor="text1"/>
                <w:szCs w:val="21"/>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ind w:left="100" w:hanging="100"/>
              <w:rPr>
                <w:b/>
                <w:color w:val="000000" w:themeColor="text1"/>
                <w:sz w:val="20"/>
                <w:szCs w:val="20"/>
              </w:rPr>
            </w:pPr>
            <w:r>
              <w:rPr>
                <w:b/>
                <w:color w:val="000000" w:themeColor="text1"/>
                <w:sz w:val="20"/>
                <w:szCs w:val="20"/>
              </w:rPr>
              <w:t>2.顾客满意</w:t>
            </w:r>
          </w:p>
          <w:p>
            <w:pPr>
              <w:pStyle w:val="8"/>
              <w:widowControl w:val="0"/>
              <w:ind w:left="105" w:firstLine="420"/>
              <w:rPr>
                <w:b/>
                <w:color w:val="000000" w:themeColor="text1"/>
                <w:sz w:val="20"/>
                <w:szCs w:val="20"/>
              </w:rPr>
            </w:pPr>
            <w:r>
              <w:rPr>
                <w:rFonts w:hint="eastAsia" w:cs="宋体" w:asciiTheme="minorEastAsia" w:hAnsiTheme="minorEastAsia"/>
                <w:color w:val="auto"/>
                <w:kern w:val="2"/>
                <w:sz w:val="21"/>
                <w:szCs w:val="21"/>
                <w:lang w:val="en-US" w:eastAsia="zh-CN" w:bidi="ar-SA"/>
              </w:rPr>
              <w:t>/</w:t>
            </w:r>
          </w:p>
        </w:tc>
      </w:tr>
      <w:tr>
        <w:tblPrEx>
          <w:tblCellMar>
            <w:top w:w="0" w:type="dxa"/>
            <w:left w:w="108" w:type="dxa"/>
            <w:bottom w:w="0" w:type="dxa"/>
            <w:right w:w="108" w:type="dxa"/>
          </w:tblCellMar>
        </w:tblPrEx>
        <w:trPr>
          <w:cantSplit/>
          <w:trHeight w:val="211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201" w:right="113" w:hanging="201"/>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3. 内审（包括内审策划审核方案中考虑拟审核的过程和区域的状况和重要性）</w:t>
            </w:r>
          </w:p>
          <w:p>
            <w:pPr>
              <w:pStyle w:val="8"/>
              <w:widowControl w:val="0"/>
              <w:spacing w:line="240" w:lineRule="exact"/>
              <w:rPr>
                <w:b/>
                <w:color w:val="000000" w:themeColor="text1"/>
                <w:spacing w:val="-8"/>
                <w:sz w:val="20"/>
                <w:szCs w:val="20"/>
              </w:rPr>
            </w:pPr>
          </w:p>
          <w:p>
            <w:pPr>
              <w:pStyle w:val="8"/>
              <w:widowControl w:val="0"/>
              <w:spacing w:line="240" w:lineRule="exact"/>
              <w:rPr>
                <w:b/>
                <w:color w:val="000000" w:themeColor="text1"/>
                <w:sz w:val="20"/>
                <w:szCs w:val="20"/>
              </w:rPr>
            </w:pPr>
            <w:r>
              <w:rPr>
                <w:b/>
                <w:color w:val="000000" w:themeColor="text1"/>
                <w:sz w:val="20"/>
                <w:szCs w:val="20"/>
              </w:rPr>
              <w:t>了解内审的策划;</w:t>
            </w:r>
          </w:p>
          <w:p>
            <w:pPr>
              <w:pStyle w:val="8"/>
              <w:widowControl w:val="0"/>
              <w:spacing w:line="360" w:lineRule="auto"/>
              <w:jc w:val="left"/>
              <w:rPr>
                <w:b/>
                <w:color w:val="000000" w:themeColor="text1"/>
                <w:sz w:val="20"/>
                <w:szCs w:val="20"/>
              </w:rPr>
            </w:pPr>
            <w:r>
              <w:rPr>
                <w:b/>
                <w:color w:val="000000" w:themeColor="text1"/>
                <w:sz w:val="20"/>
                <w:szCs w:val="20"/>
              </w:rPr>
              <w:t xml:space="preserve"> </w:t>
            </w:r>
            <w:r>
              <w:rPr>
                <w:rFonts w:ascii="宋体" w:hAnsi="宋体" w:cs="宋体"/>
                <w:szCs w:val="22"/>
              </w:rPr>
              <w:t xml:space="preserve"> 每年一次，本次2021.</w:t>
            </w:r>
            <w:r>
              <w:rPr>
                <w:rFonts w:hint="eastAsia" w:ascii="宋体" w:hAnsi="宋体" w:cs="宋体"/>
                <w:szCs w:val="22"/>
                <w:lang w:val="en-US" w:eastAsia="zh-CN"/>
              </w:rPr>
              <w:t>7</w:t>
            </w:r>
            <w:r>
              <w:rPr>
                <w:rFonts w:ascii="宋体" w:hAnsi="宋体" w:cs="宋体"/>
                <w:szCs w:val="22"/>
              </w:rPr>
              <w:t>.</w:t>
            </w:r>
            <w:r>
              <w:rPr>
                <w:rFonts w:hint="eastAsia" w:ascii="宋体" w:hAnsi="宋体" w:cs="宋体"/>
                <w:szCs w:val="22"/>
                <w:lang w:val="en-US" w:eastAsia="zh-CN"/>
              </w:rPr>
              <w:t>5</w:t>
            </w:r>
            <w:r>
              <w:rPr>
                <w:rFonts w:ascii="宋体" w:hAnsi="宋体" w:cs="宋体"/>
                <w:szCs w:val="22"/>
              </w:rPr>
              <w:t>日内审。</w:t>
            </w:r>
          </w:p>
          <w:p>
            <w:pPr>
              <w:pStyle w:val="8"/>
              <w:widowControl w:val="0"/>
              <w:spacing w:line="240" w:lineRule="exact"/>
              <w:rPr>
                <w:b/>
                <w:color w:val="000000" w:themeColor="text1"/>
                <w:sz w:val="20"/>
                <w:szCs w:val="20"/>
              </w:rPr>
            </w:pPr>
            <w:r>
              <w:rPr>
                <w:b/>
                <w:color w:val="000000" w:themeColor="text1"/>
                <w:sz w:val="20"/>
                <w:szCs w:val="20"/>
              </w:rPr>
              <w:t>了解内审是否覆盖了管理体系范围内的活动及标准的要求;</w:t>
            </w:r>
          </w:p>
          <w:p>
            <w:pPr>
              <w:pStyle w:val="8"/>
              <w:widowControl w:val="0"/>
              <w:spacing w:line="360" w:lineRule="auto"/>
              <w:ind w:firstLine="210"/>
              <w:rPr>
                <w:rFonts w:asciiTheme="minorEastAsia" w:hAnsiTheme="minorEastAsia" w:eastAsiaTheme="minorEastAsia"/>
                <w:szCs w:val="22"/>
              </w:rPr>
            </w:pPr>
            <w:r>
              <w:rPr>
                <w:rFonts w:asciiTheme="minorEastAsia" w:hAnsiTheme="minorEastAsia"/>
                <w:szCs w:val="22"/>
              </w:rPr>
              <w:t>覆盖。</w:t>
            </w:r>
          </w:p>
          <w:p>
            <w:pPr>
              <w:pStyle w:val="8"/>
              <w:widowControl w:val="0"/>
              <w:spacing w:line="240" w:lineRule="exact"/>
              <w:rPr>
                <w:b/>
                <w:color w:val="000000" w:themeColor="text1"/>
                <w:sz w:val="20"/>
                <w:szCs w:val="20"/>
              </w:rPr>
            </w:pPr>
            <w:r>
              <w:rPr>
                <w:b/>
                <w:color w:val="000000" w:themeColor="text1"/>
                <w:sz w:val="20"/>
                <w:szCs w:val="20"/>
              </w:rPr>
              <w:t>了解内审结论是什么？</w:t>
            </w:r>
          </w:p>
          <w:p>
            <w:pPr>
              <w:spacing w:line="280" w:lineRule="exact"/>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本公司建立的</w:t>
            </w:r>
            <w:r>
              <w:rPr>
                <w:rFonts w:hint="eastAsia" w:cs="宋体" w:asciiTheme="minorEastAsia" w:hAnsiTheme="minorEastAsia" w:eastAsiaTheme="minorEastAsia"/>
                <w:szCs w:val="21"/>
                <w:lang w:eastAsia="zh-CN"/>
              </w:rPr>
              <w:t>环境、职业健康安全</w:t>
            </w:r>
            <w:r>
              <w:rPr>
                <w:rFonts w:hint="eastAsia" w:cs="宋体" w:asciiTheme="minorEastAsia" w:hAnsiTheme="minorEastAsia" w:eastAsiaTheme="minorEastAsia"/>
                <w:szCs w:val="21"/>
              </w:rPr>
              <w:t>管理体系符合GB/T24001-2016、GB/T 45001-2020标准要求。方针、目标、指标的建立，符合本公司实际情况，并且包含了持续改进行承诺，在组织内各层次得到了传达和贯彻。本公司建立的</w:t>
            </w:r>
            <w:r>
              <w:rPr>
                <w:rFonts w:hint="eastAsia" w:cs="宋体" w:asciiTheme="minorEastAsia" w:hAnsiTheme="minorEastAsia" w:eastAsiaTheme="minorEastAsia"/>
                <w:szCs w:val="21"/>
                <w:lang w:eastAsia="zh-CN"/>
              </w:rPr>
              <w:t>环境、职业健康安全</w:t>
            </w:r>
            <w:r>
              <w:rPr>
                <w:rFonts w:hint="eastAsia" w:cs="宋体" w:asciiTheme="minorEastAsia" w:hAnsiTheme="minorEastAsia" w:eastAsiaTheme="minorEastAsia"/>
                <w:szCs w:val="21"/>
              </w:rPr>
              <w:t>管理体系得以有效运作</w:t>
            </w:r>
            <w:r>
              <w:rPr>
                <w:rFonts w:hint="eastAsia" w:cs="宋体" w:asciiTheme="minorEastAsia" w:hAnsiTheme="minorEastAsia" w:eastAsiaTheme="minorEastAsia"/>
                <w:szCs w:val="21"/>
                <w:lang w:eastAsia="zh-CN"/>
              </w:rPr>
              <w:t>；</w:t>
            </w:r>
          </w:p>
          <w:p>
            <w:pPr>
              <w:pStyle w:val="8"/>
              <w:widowControl w:val="0"/>
              <w:spacing w:line="240" w:lineRule="exact"/>
              <w:ind w:firstLine="420"/>
              <w:rPr>
                <w:b/>
                <w:color w:val="000000" w:themeColor="text1"/>
                <w:sz w:val="20"/>
                <w:szCs w:val="20"/>
              </w:rPr>
            </w:pPr>
          </w:p>
        </w:tc>
      </w:tr>
      <w:tr>
        <w:tblPrEx>
          <w:tblCellMar>
            <w:top w:w="0" w:type="dxa"/>
            <w:left w:w="108" w:type="dxa"/>
            <w:bottom w:w="0" w:type="dxa"/>
            <w:right w:w="108" w:type="dxa"/>
          </w:tblCellMar>
        </w:tblPrEx>
        <w:trPr>
          <w:cantSplit/>
          <w:trHeight w:val="182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extDirection w:val="tbRl"/>
            <w:vAlign w:val="center"/>
          </w:tcPr>
          <w:p>
            <w:pPr>
              <w:pStyle w:val="8"/>
              <w:widowControl w:val="0"/>
              <w:spacing w:line="240" w:lineRule="exact"/>
              <w:ind w:left="201" w:right="113" w:hanging="201"/>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4.管理评审（管理评审体系变更需求，纠正和预防措施、体系有效性等）</w:t>
            </w:r>
          </w:p>
          <w:p>
            <w:pPr>
              <w:pStyle w:val="8"/>
              <w:widowControl w:val="0"/>
              <w:spacing w:line="240" w:lineRule="exact"/>
              <w:rPr>
                <w:b/>
                <w:color w:val="000000" w:themeColor="text1"/>
                <w:sz w:val="20"/>
                <w:szCs w:val="20"/>
              </w:rPr>
            </w:pPr>
            <w:r>
              <w:rPr>
                <w:b/>
                <w:color w:val="000000" w:themeColor="text1"/>
                <w:sz w:val="20"/>
                <w:szCs w:val="20"/>
              </w:rPr>
              <w:t>了解管理评审的策划;</w:t>
            </w:r>
          </w:p>
          <w:p>
            <w:pPr>
              <w:pStyle w:val="8"/>
              <w:widowControl w:val="0"/>
              <w:spacing w:line="360" w:lineRule="auto"/>
              <w:ind w:firstLine="420"/>
              <w:jc w:val="left"/>
              <w:rPr>
                <w:rFonts w:ascii="宋体" w:hAnsi="宋体" w:cs="宋体"/>
                <w:szCs w:val="22"/>
              </w:rPr>
            </w:pPr>
            <w:r>
              <w:rPr>
                <w:rFonts w:ascii="宋体" w:hAnsi="宋体" w:cs="宋体"/>
                <w:szCs w:val="22"/>
              </w:rPr>
              <w:t>每年一次，2021.</w:t>
            </w:r>
            <w:r>
              <w:rPr>
                <w:rFonts w:hint="eastAsia" w:ascii="宋体" w:hAnsi="宋体" w:cs="宋体"/>
                <w:szCs w:val="22"/>
                <w:lang w:val="en-US" w:eastAsia="zh-CN"/>
              </w:rPr>
              <w:t>7</w:t>
            </w:r>
            <w:r>
              <w:rPr>
                <w:rFonts w:ascii="宋体" w:hAnsi="宋体" w:cs="宋体"/>
                <w:szCs w:val="22"/>
              </w:rPr>
              <w:t>.</w:t>
            </w:r>
            <w:r>
              <w:rPr>
                <w:rFonts w:hint="eastAsia" w:ascii="宋体" w:hAnsi="宋体" w:cs="宋体"/>
                <w:szCs w:val="22"/>
                <w:lang w:val="en-US" w:eastAsia="zh-CN"/>
              </w:rPr>
              <w:t>15</w:t>
            </w:r>
            <w:r>
              <w:rPr>
                <w:rFonts w:ascii="宋体" w:hAnsi="宋体" w:cs="宋体"/>
                <w:szCs w:val="22"/>
              </w:rPr>
              <w:t>日管理评审。</w:t>
            </w:r>
          </w:p>
          <w:p>
            <w:pPr>
              <w:pStyle w:val="8"/>
              <w:widowControl w:val="0"/>
              <w:spacing w:line="240" w:lineRule="exact"/>
              <w:rPr>
                <w:b/>
                <w:color w:val="000000" w:themeColor="text1"/>
                <w:sz w:val="20"/>
                <w:szCs w:val="20"/>
              </w:rPr>
            </w:pPr>
            <w:r>
              <w:rPr>
                <w:b/>
                <w:color w:val="000000" w:themeColor="text1"/>
                <w:sz w:val="20"/>
                <w:szCs w:val="20"/>
              </w:rPr>
              <w:t>了解管理评审输入是否充分;</w:t>
            </w:r>
          </w:p>
          <w:p>
            <w:pPr>
              <w:pStyle w:val="8"/>
              <w:widowControl w:val="0"/>
              <w:spacing w:line="360" w:lineRule="auto"/>
              <w:ind w:firstLine="420"/>
              <w:jc w:val="left"/>
              <w:rPr>
                <w:rFonts w:ascii="宋体" w:hAnsi="宋体" w:cs="宋体"/>
                <w:szCs w:val="22"/>
              </w:rPr>
            </w:pPr>
            <w:r>
              <w:rPr>
                <w:rFonts w:ascii="宋体" w:hAnsi="宋体" w:cs="宋体"/>
                <w:szCs w:val="22"/>
              </w:rPr>
              <w:t>输入基本充分。</w:t>
            </w:r>
          </w:p>
          <w:p>
            <w:pPr>
              <w:pStyle w:val="8"/>
              <w:widowControl w:val="0"/>
              <w:spacing w:line="240" w:lineRule="exact"/>
              <w:rPr>
                <w:b/>
                <w:color w:val="000000" w:themeColor="text1"/>
                <w:sz w:val="20"/>
                <w:szCs w:val="20"/>
              </w:rPr>
            </w:pPr>
            <w:r>
              <w:rPr>
                <w:b/>
                <w:color w:val="000000" w:themeColor="text1"/>
                <w:sz w:val="20"/>
                <w:szCs w:val="20"/>
              </w:rPr>
              <w:t>了解管理评审结论;</w:t>
            </w:r>
          </w:p>
          <w:p>
            <w:pPr>
              <w:pStyle w:val="8"/>
              <w:widowControl w:val="0"/>
              <w:spacing w:line="280" w:lineRule="exact"/>
              <w:ind w:firstLine="420"/>
              <w:rPr>
                <w:b/>
                <w:color w:val="000000" w:themeColor="text1"/>
                <w:sz w:val="20"/>
                <w:szCs w:val="20"/>
              </w:rPr>
            </w:pPr>
            <w:r>
              <w:rPr>
                <w:rFonts w:hint="eastAsia" w:cs="Times New Roman" w:asciiTheme="minorEastAsia" w:hAnsiTheme="minorEastAsia" w:eastAsiaTheme="minorEastAsia"/>
                <w:szCs w:val="21"/>
              </w:rPr>
              <w:t>经过内审和管理评审的检验证实，我公司现有的管理体系及制定的管理方针、目标是适宜、有效的，管理体系各过程识别充分。</w:t>
            </w:r>
          </w:p>
        </w:tc>
      </w:tr>
      <w:tr>
        <w:tblPrEx>
          <w:tblCellMar>
            <w:top w:w="0" w:type="dxa"/>
            <w:left w:w="108" w:type="dxa"/>
            <w:bottom w:w="0" w:type="dxa"/>
            <w:right w:w="108" w:type="dxa"/>
          </w:tblCellMar>
        </w:tblPrEx>
        <w:trPr>
          <w:cantSplit/>
          <w:trHeight w:val="84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5.  EMS是否按规定对主要污染物（污水、废气、噪声、废渣等）及排放实施了例行的监视或测量，结果是否满足相关要求？</w:t>
            </w:r>
          </w:p>
          <w:p>
            <w:pPr>
              <w:pStyle w:val="8"/>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74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6.  EMS国家/地方环保部门监测结果、新改扩建项目符合环评报告、三同时验收报告要求情况及措施</w:t>
            </w:r>
          </w:p>
          <w:p>
            <w:pPr>
              <w:pStyle w:val="8"/>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83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300" w:lineRule="exact"/>
              <w:rPr>
                <w:b/>
                <w:color w:val="000000" w:themeColor="text1"/>
                <w:sz w:val="20"/>
                <w:szCs w:val="20"/>
              </w:rPr>
            </w:pPr>
            <w:r>
              <w:rPr>
                <w:b/>
                <w:color w:val="000000" w:themeColor="text1"/>
                <w:sz w:val="20"/>
                <w:szCs w:val="20"/>
              </w:rPr>
              <w:t>7. OHSMS是否按规定对职业健康安全项目进行定期测量，结果是否满足相关要求：</w:t>
            </w:r>
          </w:p>
          <w:p>
            <w:pPr>
              <w:pStyle w:val="8"/>
              <w:widowControl w:val="0"/>
              <w:spacing w:line="300" w:lineRule="exact"/>
              <w:rPr>
                <w:b/>
                <w:color w:val="000000" w:themeColor="text1"/>
                <w:sz w:val="20"/>
                <w:szCs w:val="20"/>
              </w:rPr>
            </w:pPr>
            <w:r>
              <w:rPr>
                <w:szCs w:val="21"/>
              </w:rPr>
              <w:t>无</w:t>
            </w:r>
          </w:p>
          <w:p>
            <w:pPr>
              <w:pStyle w:val="8"/>
              <w:widowControl w:val="0"/>
              <w:spacing w:line="240" w:lineRule="exact"/>
              <w:rPr>
                <w:b/>
                <w:color w:val="000000" w:themeColor="text1"/>
                <w:sz w:val="20"/>
                <w:szCs w:val="20"/>
              </w:rPr>
            </w:pPr>
          </w:p>
        </w:tc>
      </w:tr>
      <w:tr>
        <w:tblPrEx>
          <w:tblCellMar>
            <w:top w:w="0" w:type="dxa"/>
            <w:left w:w="108" w:type="dxa"/>
            <w:bottom w:w="0" w:type="dxa"/>
            <w:right w:w="108" w:type="dxa"/>
          </w:tblCellMar>
        </w:tblPrEx>
        <w:trPr>
          <w:cantSplit/>
          <w:trHeight w:val="61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8.OHSMS国家/地方职业健康安全部门监督检查情况及措施</w:t>
            </w:r>
          </w:p>
          <w:p>
            <w:pPr>
              <w:pStyle w:val="8"/>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85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9. 其他能够标明组织绩效、信誉的证据/信息：</w:t>
            </w:r>
          </w:p>
          <w:p>
            <w:pPr>
              <w:pStyle w:val="8"/>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92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ind w:left="113" w:firstLine="0"/>
              <w:jc w:val="center"/>
              <w:rPr>
                <w:b/>
                <w:color w:val="000000" w:themeColor="text1"/>
                <w:sz w:val="20"/>
              </w:rPr>
            </w:pPr>
            <w:r>
              <w:rPr>
                <w:b/>
                <w:color w:val="000000" w:themeColor="text1"/>
                <w:sz w:val="20"/>
              </w:rPr>
              <w:t>(五)持续改进</w:t>
            </w: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1 纠正/预防措施的实施及效果</w:t>
            </w:r>
            <w:r>
              <w:rPr>
                <w:b/>
                <w:color w:val="000000" w:themeColor="text1"/>
                <w:spacing w:val="-8"/>
                <w:sz w:val="20"/>
                <w:szCs w:val="20"/>
              </w:rPr>
              <w:t>;</w:t>
            </w:r>
          </w:p>
          <w:p>
            <w:pPr>
              <w:pStyle w:val="8"/>
              <w:widowControl w:val="0"/>
              <w:spacing w:line="240" w:lineRule="exact"/>
              <w:ind w:firstLine="420"/>
              <w:rPr>
                <w:b/>
                <w:color w:val="000000" w:themeColor="text1"/>
                <w:sz w:val="20"/>
                <w:szCs w:val="20"/>
              </w:rPr>
            </w:pPr>
            <w:r>
              <w:rPr>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CellMar>
            <w:top w:w="0" w:type="dxa"/>
            <w:left w:w="108" w:type="dxa"/>
            <w:bottom w:w="0" w:type="dxa"/>
            <w:right w:w="108" w:type="dxa"/>
          </w:tblCellMar>
        </w:tblPrEx>
        <w:trPr>
          <w:cantSplit/>
          <w:trHeight w:val="76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pacing w:val="-20"/>
                <w:sz w:val="20"/>
                <w:szCs w:val="20"/>
              </w:rPr>
            </w:pPr>
            <w:r>
              <w:rPr>
                <w:b/>
                <w:color w:val="000000" w:themeColor="text1"/>
                <w:spacing w:val="-20"/>
                <w:sz w:val="20"/>
                <w:szCs w:val="20"/>
              </w:rPr>
              <w:t>2（近一年）重大事故、顾客/相关方投诉：：</w:t>
            </w:r>
          </w:p>
          <w:p>
            <w:pPr>
              <w:pStyle w:val="8"/>
              <w:widowControl w:val="0"/>
              <w:spacing w:line="240" w:lineRule="exact"/>
              <w:rPr>
                <w:b/>
                <w:color w:val="000000" w:themeColor="text1"/>
                <w:spacing w:val="-20"/>
                <w:sz w:val="20"/>
                <w:szCs w:val="20"/>
              </w:rPr>
            </w:pPr>
          </w:p>
          <w:p>
            <w:pPr>
              <w:pStyle w:val="8"/>
              <w:widowControl w:val="0"/>
              <w:spacing w:line="240" w:lineRule="exact"/>
              <w:rPr>
                <w:b/>
                <w:color w:val="000000" w:themeColor="text1"/>
                <w:sz w:val="20"/>
                <w:szCs w:val="20"/>
              </w:rPr>
            </w:pPr>
            <w:r>
              <w:rPr>
                <w:bCs/>
                <w:color w:val="000000" w:themeColor="text1"/>
                <w:szCs w:val="21"/>
              </w:rPr>
              <w:t>未发生。</w:t>
            </w:r>
          </w:p>
        </w:tc>
      </w:tr>
      <w:tr>
        <w:tblPrEx>
          <w:tblCellMar>
            <w:top w:w="0" w:type="dxa"/>
            <w:left w:w="108" w:type="dxa"/>
            <w:bottom w:w="0" w:type="dxa"/>
            <w:right w:w="108" w:type="dxa"/>
          </w:tblCellMar>
        </w:tblPrEx>
        <w:trPr>
          <w:cantSplit/>
          <w:trHeight w:val="62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3. 一阶段提出问题的整改情况?</w:t>
            </w:r>
          </w:p>
          <w:p>
            <w:pPr>
              <w:pStyle w:val="8"/>
              <w:widowControl w:val="0"/>
              <w:spacing w:line="240" w:lineRule="exact"/>
              <w:rPr>
                <w:b/>
                <w:color w:val="000000" w:themeColor="text1"/>
                <w:spacing w:val="-20"/>
                <w:sz w:val="20"/>
                <w:szCs w:val="20"/>
              </w:rPr>
            </w:pPr>
            <w:r>
              <w:rPr>
                <w:bCs/>
                <w:color w:val="000000" w:themeColor="text1"/>
                <w:spacing w:val="-20"/>
                <w:szCs w:val="21"/>
              </w:rPr>
              <w:t>一阶段提出的问题已整改完成。</w:t>
            </w:r>
          </w:p>
        </w:tc>
      </w:tr>
      <w:tr>
        <w:tblPrEx>
          <w:tblCellMar>
            <w:top w:w="0" w:type="dxa"/>
            <w:left w:w="108" w:type="dxa"/>
            <w:bottom w:w="0" w:type="dxa"/>
            <w:right w:w="108" w:type="dxa"/>
          </w:tblCellMar>
        </w:tblPrEx>
        <w:trPr>
          <w:cantSplit/>
          <w:trHeight w:val="63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 w:val="20"/>
                <w:szCs w:val="20"/>
              </w:rPr>
            </w:pPr>
            <w:r>
              <w:rPr>
                <w:b/>
                <w:color w:val="000000" w:themeColor="text1"/>
                <w:sz w:val="20"/>
                <w:szCs w:val="20"/>
              </w:rPr>
              <w:t>4.创新情况</w:t>
            </w:r>
          </w:p>
          <w:p>
            <w:pPr>
              <w:pStyle w:val="8"/>
              <w:widowControl w:val="0"/>
              <w:spacing w:line="240" w:lineRule="exact"/>
              <w:rPr>
                <w:b/>
                <w:color w:val="000000" w:themeColor="text1"/>
                <w:sz w:val="20"/>
                <w:szCs w:val="20"/>
              </w:rPr>
            </w:pPr>
            <w:r>
              <w:rPr>
                <w:szCs w:val="21"/>
              </w:rPr>
              <w:t>无。</w:t>
            </w:r>
          </w:p>
        </w:tc>
      </w:tr>
      <w:tr>
        <w:tblPrEx>
          <w:tblCellMar>
            <w:top w:w="0" w:type="dxa"/>
            <w:left w:w="108" w:type="dxa"/>
            <w:bottom w:w="0" w:type="dxa"/>
            <w:right w:w="108" w:type="dxa"/>
          </w:tblCellMar>
        </w:tblPrEx>
        <w:trPr>
          <w:cantSplit/>
          <w:trHeight w:val="53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pStyle w:val="8"/>
              <w:widowControl w:val="0"/>
              <w:spacing w:line="240" w:lineRule="exact"/>
              <w:jc w:val="center"/>
              <w:rPr>
                <w:b/>
                <w:color w:val="000000" w:themeColor="text1"/>
                <w:sz w:val="20"/>
              </w:rPr>
            </w:pPr>
          </w:p>
        </w:tc>
        <w:tc>
          <w:tcPr>
            <w:tcW w:w="9197" w:type="dxa"/>
            <w:tcBorders>
              <w:top w:val="single" w:color="000000" w:sz="4" w:space="0"/>
              <w:left w:val="single" w:color="000000" w:sz="4" w:space="0"/>
              <w:bottom w:val="single" w:color="000000" w:sz="4" w:space="0"/>
              <w:right w:val="single" w:color="000000" w:sz="4" w:space="0"/>
            </w:tcBorders>
          </w:tcPr>
          <w:p>
            <w:pPr>
              <w:pStyle w:val="8"/>
              <w:widowControl w:val="0"/>
              <w:spacing w:line="240" w:lineRule="exact"/>
              <w:rPr>
                <w:b/>
                <w:color w:val="000000" w:themeColor="text1"/>
                <w:szCs w:val="21"/>
              </w:rPr>
            </w:pPr>
            <w:r>
              <w:rPr>
                <w:b/>
                <w:color w:val="000000" w:themeColor="text1"/>
                <w:szCs w:val="21"/>
              </w:rPr>
              <w:t>5. 上次不符合的整改情况（再认证填写）</w:t>
            </w:r>
          </w:p>
        </w:tc>
      </w:tr>
    </w:tbl>
    <w:p>
      <w:pPr>
        <w:pStyle w:val="8"/>
        <w:spacing w:line="360" w:lineRule="auto"/>
        <w:ind w:left="1" w:hanging="992"/>
        <w:rPr>
          <w:b/>
          <w:color w:val="000000" w:themeColor="text1"/>
          <w:sz w:val="20"/>
        </w:rPr>
      </w:pPr>
      <w:r>
        <w:rPr>
          <w:b/>
          <w:color w:val="000000" w:themeColor="text1"/>
          <w:sz w:val="26"/>
          <w:szCs w:val="26"/>
        </w:rPr>
        <w:t>七、本次审核不符合项</w:t>
      </w:r>
    </w:p>
    <w:p>
      <w:pPr>
        <w:pStyle w:val="8"/>
        <w:tabs>
          <w:tab w:val="left" w:pos="9072"/>
        </w:tabs>
        <w:spacing w:line="360" w:lineRule="auto"/>
        <w:ind w:left="-993" w:firstLine="2"/>
        <w:rPr>
          <w:b/>
          <w:color w:val="000000" w:themeColor="text1"/>
        </w:rPr>
      </w:pPr>
      <w:r>
        <w:rPr>
          <w:b/>
          <w:color w:val="000000" w:themeColor="text1"/>
        </w:rPr>
        <w:t>1. 本次审核共开具不符合项报告1项；其中严重不符合0项，一般不符合1项，观察项</w:t>
      </w:r>
      <w:r>
        <w:rPr>
          <w:rFonts w:hint="eastAsia"/>
          <w:b/>
          <w:color w:val="000000" w:themeColor="text1"/>
          <w:lang w:val="en-US" w:eastAsia="zh-CN"/>
        </w:rPr>
        <w:t>0项，不符合项</w:t>
      </w:r>
      <w:r>
        <w:rPr>
          <w:b/>
          <w:color w:val="000000" w:themeColor="text1"/>
        </w:rPr>
        <w:t>分布在</w:t>
      </w:r>
      <w:r>
        <w:rPr>
          <w:rFonts w:hint="eastAsia"/>
          <w:b/>
          <w:color w:val="000000" w:themeColor="text1"/>
          <w:u w:val="single"/>
          <w:lang w:val="en-US" w:eastAsia="zh-CN"/>
        </w:rPr>
        <w:t>业务</w:t>
      </w:r>
      <w:r>
        <w:rPr>
          <w:b/>
          <w:color w:val="000000" w:themeColor="text1"/>
          <w:u w:val="single"/>
        </w:rPr>
        <w:t>部</w:t>
      </w:r>
      <w:r>
        <w:rPr>
          <w:b/>
          <w:color w:val="000000" w:themeColor="text1"/>
        </w:rPr>
        <w:t>部门</w:t>
      </w:r>
      <w:r>
        <w:rPr>
          <w:b/>
          <w:color w:val="000000" w:themeColor="text1"/>
          <w:u w:val="single"/>
        </w:rPr>
        <w:t>EO</w:t>
      </w:r>
      <w:r>
        <w:rPr>
          <w:rFonts w:hint="eastAsia"/>
          <w:b/>
          <w:color w:val="000000" w:themeColor="text1"/>
          <w:u w:val="single"/>
          <w:lang w:val="en-US" w:eastAsia="zh-CN"/>
        </w:rPr>
        <w:t>8</w:t>
      </w:r>
      <w:r>
        <w:rPr>
          <w:b/>
          <w:color w:val="000000" w:themeColor="text1"/>
          <w:u w:val="single"/>
        </w:rPr>
        <w:t>.</w:t>
      </w:r>
      <w:r>
        <w:rPr>
          <w:rFonts w:hint="eastAsia"/>
          <w:b/>
          <w:color w:val="000000" w:themeColor="text1"/>
          <w:u w:val="single"/>
          <w:lang w:val="en-US" w:eastAsia="zh-CN"/>
        </w:rPr>
        <w:t>1</w:t>
      </w:r>
      <w:r>
        <w:rPr>
          <w:b/>
          <w:color w:val="000000" w:themeColor="text1"/>
        </w:rPr>
        <w:t>条款，分布见附件。（Q/J/E/S分开填写）</w:t>
      </w:r>
    </w:p>
    <w:p>
      <w:pPr>
        <w:pStyle w:val="8"/>
        <w:tabs>
          <w:tab w:val="left" w:pos="215"/>
          <w:tab w:val="left" w:pos="430"/>
        </w:tabs>
        <w:spacing w:line="360" w:lineRule="auto"/>
        <w:ind w:left="-190" w:hanging="801"/>
        <w:rPr>
          <w:b/>
          <w:color w:val="000000" w:themeColor="text1"/>
        </w:rPr>
      </w:pPr>
      <w:r>
        <w:rPr>
          <w:b/>
          <w:bCs/>
          <w:color w:val="000000" w:themeColor="text1"/>
          <w:szCs w:val="28"/>
        </w:rPr>
        <w:t>2. 本次审核发现不符合及存在问题对管理体系实现目标的影响</w:t>
      </w:r>
      <w:r>
        <w:rPr>
          <w:b/>
          <w:color w:val="000000" w:themeColor="text1"/>
          <w:spacing w:val="-10"/>
          <w:szCs w:val="21"/>
        </w:rPr>
        <w:t>□</w:t>
      </w:r>
      <w:r>
        <w:rPr>
          <w:b/>
          <w:color w:val="000000" w:themeColor="text1"/>
        </w:rPr>
        <w:t>较大</w:t>
      </w:r>
      <w:r>
        <w:rPr>
          <w:rFonts w:ascii="MS Mincho" w:hAnsi="MS Mincho" w:eastAsia="MS Mincho" w:cs="MS Mincho"/>
          <w:b/>
          <w:color w:val="000000" w:themeColor="text1"/>
          <w:spacing w:val="-10"/>
          <w:szCs w:val="21"/>
        </w:rPr>
        <w:t>☑</w:t>
      </w:r>
      <w:r>
        <w:rPr>
          <w:b/>
          <w:color w:val="000000" w:themeColor="text1"/>
        </w:rPr>
        <w:t>不大</w:t>
      </w:r>
    </w:p>
    <w:p>
      <w:pPr>
        <w:pStyle w:val="8"/>
        <w:tabs>
          <w:tab w:val="left" w:pos="215"/>
          <w:tab w:val="left" w:pos="430"/>
        </w:tabs>
        <w:spacing w:line="360" w:lineRule="auto"/>
        <w:ind w:left="-190" w:hanging="801"/>
        <w:rPr>
          <w:b/>
          <w:color w:val="000000" w:themeColor="text1"/>
        </w:rPr>
      </w:pPr>
      <w:r>
        <w:rPr>
          <w:b/>
          <w:color w:val="000000" w:themeColor="text1"/>
        </w:rPr>
        <w:t>八、已识别出的任何未解决的问题：：</w:t>
      </w:r>
      <w:r>
        <w:rPr>
          <w:color w:val="000000" w:themeColor="text1"/>
          <w:u w:val="single"/>
        </w:rPr>
        <w:t>无。</w:t>
      </w:r>
    </w:p>
    <w:p>
      <w:pPr>
        <w:pStyle w:val="8"/>
        <w:snapToGrid w:val="0"/>
        <w:spacing w:line="360" w:lineRule="auto"/>
        <w:ind w:left="-191" w:hanging="517"/>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pStyle w:val="8"/>
              <w:widowControl w:val="0"/>
              <w:snapToGrid w:val="0"/>
              <w:spacing w:before="0" w:after="0" w:line="360" w:lineRule="auto"/>
              <w:rPr>
                <w:b/>
                <w:color w:val="000000" w:themeColor="text1"/>
                <w:spacing w:val="-10"/>
                <w:szCs w:val="21"/>
              </w:rPr>
            </w:pPr>
            <w:r>
              <w:rPr>
                <w:rFonts w:ascii="宋体" w:hAnsi="宋体" w:cs="Times New Roman"/>
                <w:b/>
                <w:color w:val="000000" w:themeColor="text1"/>
                <w:szCs w:val="21"/>
                <w:lang w:val="en-US" w:eastAsia="zh-CN" w:bidi="ar-SA"/>
              </w:rPr>
              <w:t>影响本次审核结论可靠性的因素</w:t>
            </w:r>
          </w:p>
        </w:tc>
        <w:tc>
          <w:tcPr>
            <w:tcW w:w="4819" w:type="dxa"/>
          </w:tcPr>
          <w:p>
            <w:pPr>
              <w:pStyle w:val="8"/>
              <w:widowControl w:val="0"/>
              <w:snapToGrid w:val="0"/>
              <w:spacing w:before="0" w:after="0" w:line="360" w:lineRule="auto"/>
              <w:rPr>
                <w:rFonts w:ascii="宋体" w:hAnsi="宋体"/>
                <w:b/>
                <w:color w:val="000000" w:themeColor="text1"/>
                <w:szCs w:val="21"/>
              </w:rPr>
            </w:pPr>
            <w:r>
              <w:rPr>
                <w:rFonts w:ascii="宋体" w:hAnsi="宋体" w:cs="Times New Roman"/>
                <w:b/>
                <w:color w:val="000000" w:themeColor="text1"/>
                <w:szCs w:val="21"/>
                <w:lang w:val="en-US" w:eastAsia="zh-CN" w:bidi="ar-S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pStyle w:val="8"/>
              <w:widowControl w:val="0"/>
              <w:snapToGrid w:val="0"/>
              <w:spacing w:before="0" w:after="0" w:line="360" w:lineRule="auto"/>
              <w:rPr>
                <w:rFonts w:ascii="宋体" w:hAnsi="宋体"/>
                <w:b/>
                <w:color w:val="000000" w:themeColor="text1"/>
                <w:szCs w:val="21"/>
              </w:rPr>
            </w:pPr>
            <w:r>
              <w:rPr>
                <w:rFonts w:cs="Times New Roman"/>
                <w:b/>
                <w:color w:val="000000" w:themeColor="text1"/>
                <w:spacing w:val="-10"/>
                <w:szCs w:val="21"/>
                <w:lang w:val="en-US" w:eastAsia="zh-CN" w:bidi="ar-SA"/>
              </w:rPr>
              <w:t>□</w:t>
            </w:r>
            <w:r>
              <w:rPr>
                <w:rFonts w:ascii="宋体" w:hAnsi="宋体" w:cs="Times New Roman"/>
                <w:b/>
                <w:color w:val="000000" w:themeColor="text1"/>
                <w:szCs w:val="21"/>
                <w:lang w:val="en-US" w:eastAsia="zh-CN" w:bidi="ar-SA"/>
              </w:rPr>
              <w:t>样本量不足</w:t>
            </w:r>
          </w:p>
        </w:tc>
        <w:tc>
          <w:tcPr>
            <w:tcW w:w="4819" w:type="dxa"/>
          </w:tcPr>
          <w:p>
            <w:pPr>
              <w:pStyle w:val="8"/>
              <w:widowControl w:val="0"/>
              <w:snapToGrid w:val="0"/>
              <w:spacing w:before="0" w:after="0"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pStyle w:val="8"/>
              <w:widowControl w:val="0"/>
              <w:snapToGrid w:val="0"/>
              <w:spacing w:before="0" w:after="0" w:line="360" w:lineRule="auto"/>
              <w:rPr>
                <w:rFonts w:ascii="宋体" w:hAnsi="宋体"/>
                <w:b/>
                <w:color w:val="000000" w:themeColor="text1"/>
                <w:szCs w:val="21"/>
              </w:rPr>
            </w:pPr>
            <w:r>
              <w:rPr>
                <w:rFonts w:cs="Times New Roman"/>
                <w:b/>
                <w:color w:val="000000" w:themeColor="text1"/>
                <w:spacing w:val="-10"/>
                <w:szCs w:val="21"/>
                <w:lang w:val="en-US" w:eastAsia="zh-CN" w:bidi="ar-SA"/>
              </w:rPr>
              <w:t>□</w:t>
            </w:r>
            <w:r>
              <w:rPr>
                <w:rFonts w:ascii="宋体" w:hAnsi="宋体" w:cs="Times New Roman"/>
                <w:b/>
                <w:color w:val="000000" w:themeColor="text1"/>
                <w:szCs w:val="21"/>
                <w:lang w:val="en-US" w:eastAsia="zh-CN" w:bidi="ar-SA"/>
              </w:rPr>
              <w:t>知识产权保护</w:t>
            </w:r>
          </w:p>
        </w:tc>
        <w:tc>
          <w:tcPr>
            <w:tcW w:w="4819" w:type="dxa"/>
          </w:tcPr>
          <w:p>
            <w:pPr>
              <w:pStyle w:val="8"/>
              <w:widowControl w:val="0"/>
              <w:snapToGrid w:val="0"/>
              <w:spacing w:before="0" w:after="0"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pPr>
              <w:pStyle w:val="8"/>
              <w:widowControl w:val="0"/>
              <w:snapToGrid w:val="0"/>
              <w:spacing w:before="0" w:after="0" w:line="360" w:lineRule="auto"/>
              <w:rPr>
                <w:rFonts w:ascii="宋体" w:hAnsi="宋体"/>
                <w:b/>
                <w:color w:val="000000" w:themeColor="text1"/>
                <w:szCs w:val="21"/>
              </w:rPr>
            </w:pPr>
            <w:r>
              <w:rPr>
                <w:rFonts w:cs="Times New Roman"/>
                <w:b/>
                <w:color w:val="000000" w:themeColor="text1"/>
                <w:spacing w:val="-10"/>
                <w:szCs w:val="21"/>
                <w:lang w:val="en-US" w:eastAsia="zh-CN" w:bidi="ar-SA"/>
              </w:rPr>
              <w:t>□</w:t>
            </w:r>
            <w:r>
              <w:rPr>
                <w:rFonts w:ascii="宋体" w:hAnsi="宋体" w:cs="Times New Roman"/>
                <w:b/>
                <w:color w:val="000000" w:themeColor="text1"/>
                <w:szCs w:val="21"/>
                <w:lang w:val="en-US" w:eastAsia="zh-CN" w:bidi="ar-SA"/>
              </w:rPr>
              <w:t>因受审核方信息造成的日数或审核资源不足</w:t>
            </w:r>
          </w:p>
        </w:tc>
        <w:tc>
          <w:tcPr>
            <w:tcW w:w="4819" w:type="dxa"/>
          </w:tcPr>
          <w:p>
            <w:pPr>
              <w:pStyle w:val="8"/>
              <w:widowControl w:val="0"/>
              <w:snapToGrid w:val="0"/>
              <w:spacing w:before="0" w:after="0" w:line="360" w:lineRule="auto"/>
              <w:rPr>
                <w:rFonts w:ascii="宋体" w:hAnsi="宋体"/>
                <w:b/>
                <w:color w:val="000000" w:themeColor="text1"/>
                <w:szCs w:val="21"/>
              </w:rPr>
            </w:pPr>
          </w:p>
        </w:tc>
      </w:tr>
    </w:tbl>
    <w:p>
      <w:pPr>
        <w:pStyle w:val="8"/>
        <w:snapToGrid w:val="0"/>
        <w:spacing w:line="360" w:lineRule="auto"/>
        <w:ind w:left="364" w:hanging="1355"/>
        <w:rPr>
          <w:b/>
          <w:color w:val="000000" w:themeColor="text1"/>
          <w:sz w:val="26"/>
          <w:szCs w:val="26"/>
        </w:rPr>
      </w:pPr>
      <w:r>
        <w:rPr>
          <w:b/>
          <w:color w:val="000000" w:themeColor="text1"/>
          <w:sz w:val="26"/>
          <w:szCs w:val="26"/>
        </w:rPr>
        <w:t>九、是否达到审核目的</w:t>
      </w:r>
    </w:p>
    <w:p>
      <w:pPr>
        <w:pStyle w:val="8"/>
        <w:snapToGrid w:val="0"/>
        <w:spacing w:line="360" w:lineRule="auto"/>
        <w:ind w:left="-191" w:hanging="517"/>
        <w:rPr>
          <w:rFonts w:ascii="宋体" w:hAnsi="宋体"/>
          <w:b/>
          <w:color w:val="000000" w:themeColor="text1"/>
          <w:szCs w:val="21"/>
        </w:rPr>
      </w:pPr>
      <w:r>
        <w:rPr>
          <w:rFonts w:ascii="MS Mincho" w:hAnsi="MS Mincho" w:eastAsia="MS Mincho" w:cs="MS Mincho"/>
          <w:b/>
          <w:color w:val="000000" w:themeColor="text1"/>
          <w:spacing w:val="-10"/>
          <w:szCs w:val="21"/>
        </w:rPr>
        <w:t>☑</w:t>
      </w:r>
      <w:r>
        <w:rPr>
          <w:rFonts w:ascii="宋体" w:hAnsi="宋体"/>
          <w:b/>
          <w:color w:val="000000" w:themeColor="text1"/>
          <w:szCs w:val="21"/>
        </w:rPr>
        <w:t xml:space="preserve">达到审核目的 </w:t>
      </w:r>
    </w:p>
    <w:p>
      <w:pPr>
        <w:pStyle w:val="8"/>
        <w:snapToGrid w:val="0"/>
        <w:spacing w:line="360" w:lineRule="auto"/>
        <w:ind w:left="-191" w:hanging="517"/>
        <w:rPr>
          <w:rFonts w:ascii="宋体" w:hAnsi="宋体"/>
          <w:b/>
          <w:color w:val="000000" w:themeColor="text1"/>
          <w:szCs w:val="21"/>
        </w:rPr>
      </w:pPr>
      <w:r>
        <w:rPr>
          <w:b/>
          <w:color w:val="000000" w:themeColor="text1"/>
          <w:spacing w:val="-10"/>
          <w:szCs w:val="21"/>
        </w:rPr>
        <w:t>□未</w:t>
      </w:r>
      <w:r>
        <w:rPr>
          <w:rFonts w:ascii="宋体" w:hAnsi="宋体"/>
          <w:b/>
          <w:color w:val="000000" w:themeColor="text1"/>
          <w:szCs w:val="21"/>
        </w:rPr>
        <w:t>达到审核目的，未达到目的的原因是：</w:t>
      </w:r>
    </w:p>
    <w:p>
      <w:pPr>
        <w:pStyle w:val="8"/>
        <w:spacing w:line="360" w:lineRule="auto"/>
        <w:ind w:left="1" w:hanging="992"/>
        <w:rPr>
          <w:b/>
          <w:color w:val="000000" w:themeColor="text1"/>
          <w:sz w:val="26"/>
          <w:szCs w:val="26"/>
        </w:rPr>
      </w:pPr>
      <w:r>
        <w:rPr>
          <w:b/>
          <w:color w:val="000000" w:themeColor="text1"/>
          <w:sz w:val="26"/>
          <w:szCs w:val="26"/>
        </w:rPr>
        <w:t>十、审核结论</w:t>
      </w:r>
    </w:p>
    <w:tbl>
      <w:tblPr>
        <w:tblStyle w:val="9"/>
        <w:tblW w:w="10080" w:type="dxa"/>
        <w:tblInd w:w="-880" w:type="dxa"/>
        <w:tblLayout w:type="fixed"/>
        <w:tblCellMar>
          <w:top w:w="0" w:type="dxa"/>
          <w:left w:w="108" w:type="dxa"/>
          <w:bottom w:w="0" w:type="dxa"/>
          <w:right w:w="108" w:type="dxa"/>
        </w:tblCellMar>
      </w:tblPr>
      <w:tblGrid>
        <w:gridCol w:w="10080"/>
      </w:tblGrid>
      <w:tr>
        <w:tblPrEx>
          <w:tblCellMar>
            <w:top w:w="0" w:type="dxa"/>
            <w:left w:w="108" w:type="dxa"/>
            <w:bottom w:w="0" w:type="dxa"/>
            <w:right w:w="108" w:type="dxa"/>
          </w:tblCellMar>
        </w:tblPrEx>
        <w:trPr>
          <w:trHeight w:val="3046" w:hRule="atLeast"/>
        </w:trPr>
        <w:tc>
          <w:tcPr>
            <w:tcW w:w="10080" w:type="dxa"/>
            <w:tcBorders>
              <w:top w:val="single" w:color="000000" w:sz="4" w:space="0"/>
              <w:left w:val="single" w:color="000000" w:sz="4" w:space="0"/>
              <w:bottom w:val="single" w:color="000000" w:sz="4" w:space="0"/>
              <w:right w:val="single" w:color="000000" w:sz="4" w:space="0"/>
            </w:tcBorders>
          </w:tcPr>
          <w:p>
            <w:pPr>
              <w:pStyle w:val="8"/>
              <w:widowControl w:val="0"/>
              <w:spacing w:line="280" w:lineRule="exact"/>
              <w:rPr>
                <w:b/>
                <w:color w:val="000000" w:themeColor="text1"/>
                <w:sz w:val="22"/>
                <w:szCs w:val="22"/>
              </w:rPr>
            </w:pPr>
            <w:r>
              <w:rPr>
                <w:b/>
                <w:color w:val="000000" w:themeColor="text1"/>
                <w:spacing w:val="-10"/>
                <w:sz w:val="22"/>
                <w:szCs w:val="22"/>
              </w:rPr>
              <w:t xml:space="preserve">1. </w:t>
            </w:r>
            <w:r>
              <w:rPr>
                <w:rFonts w:hint="eastAsia" w:ascii="MS Mincho" w:hAnsi="MS Mincho" w:eastAsia="MS Mincho" w:cs="MS Mincho"/>
                <w:b/>
                <w:color w:val="000000" w:themeColor="text1"/>
                <w:spacing w:val="-10"/>
                <w:szCs w:val="21"/>
                <w:lang w:eastAsia="zh-CN"/>
              </w:rPr>
              <w:t>□</w:t>
            </w:r>
            <w:r>
              <w:rPr>
                <w:b/>
                <w:color w:val="000000" w:themeColor="text1"/>
                <w:sz w:val="22"/>
                <w:szCs w:val="22"/>
              </w:rPr>
              <w:t>QMS</w:t>
            </w:r>
            <w:r>
              <w:rPr>
                <w:rFonts w:ascii="MS Mincho" w:hAnsi="MS Mincho" w:eastAsia="MS Mincho" w:cs="MS Mincho"/>
                <w:b/>
                <w:color w:val="000000" w:themeColor="text1"/>
                <w:spacing w:val="-10"/>
                <w:szCs w:val="21"/>
              </w:rPr>
              <w:t>☑</w:t>
            </w:r>
            <w:r>
              <w:rPr>
                <w:b/>
                <w:color w:val="000000" w:themeColor="text1"/>
                <w:sz w:val="22"/>
                <w:szCs w:val="22"/>
              </w:rPr>
              <w:t xml:space="preserve">EMS  </w:t>
            </w:r>
            <w:r>
              <w:rPr>
                <w:rFonts w:ascii="MS Mincho" w:hAnsi="MS Mincho" w:eastAsia="MS Mincho" w:cs="MS Mincho"/>
                <w:b/>
                <w:color w:val="000000" w:themeColor="text1"/>
                <w:spacing w:val="-10"/>
                <w:szCs w:val="21"/>
              </w:rPr>
              <w:t>☑</w:t>
            </w:r>
            <w:r>
              <w:rPr>
                <w:b/>
                <w:color w:val="000000" w:themeColor="text1"/>
                <w:sz w:val="22"/>
                <w:szCs w:val="22"/>
              </w:rPr>
              <w:t>OHSMS的适宜性、充分性、运行有效性，自我完善机制等。管理体系满足适用要求和实现预期结果的能力。</w:t>
            </w:r>
          </w:p>
          <w:p>
            <w:pPr>
              <w:pStyle w:val="8"/>
              <w:widowControl w:val="0"/>
              <w:spacing w:line="280" w:lineRule="exact"/>
              <w:ind w:left="221" w:hanging="221"/>
              <w:rPr>
                <w:b/>
                <w:color w:val="000000" w:themeColor="text1"/>
                <w:sz w:val="22"/>
                <w:szCs w:val="22"/>
              </w:rPr>
            </w:pPr>
            <w:r>
              <w:rPr>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8"/>
              <w:widowControl w:val="0"/>
              <w:spacing w:line="240" w:lineRule="exact"/>
              <w:rPr>
                <w:b/>
                <w:color w:val="000000" w:themeColor="text1"/>
                <w:sz w:val="22"/>
                <w:szCs w:val="22"/>
              </w:rPr>
            </w:pPr>
            <w:r>
              <w:rPr>
                <w:b/>
                <w:color w:val="000000" w:themeColor="text1"/>
                <w:spacing w:val="-10"/>
                <w:szCs w:val="21"/>
              </w:rPr>
              <w:t>□</w:t>
            </w:r>
            <w:r>
              <w:rPr>
                <w:b/>
                <w:color w:val="000000" w:themeColor="text1"/>
                <w:sz w:val="22"/>
                <w:szCs w:val="22"/>
              </w:rPr>
              <w:t xml:space="preserve">QMS  </w:t>
            </w:r>
            <w:r>
              <w:rPr>
                <w:b/>
                <w:color w:val="000000" w:themeColor="text1"/>
                <w:spacing w:val="-10"/>
                <w:szCs w:val="21"/>
              </w:rPr>
              <w:t>□</w:t>
            </w:r>
            <w:r>
              <w:rPr>
                <w:b/>
                <w:color w:val="000000" w:themeColor="text1"/>
                <w:sz w:val="22"/>
                <w:szCs w:val="22"/>
              </w:rPr>
              <w:t xml:space="preserve">EMS  </w:t>
            </w:r>
            <w:r>
              <w:rPr>
                <w:b/>
                <w:color w:val="000000" w:themeColor="text1"/>
                <w:spacing w:val="-10"/>
                <w:szCs w:val="21"/>
              </w:rPr>
              <w:t>□</w:t>
            </w:r>
            <w:r>
              <w:rPr>
                <w:b/>
                <w:color w:val="000000" w:themeColor="text1"/>
                <w:sz w:val="22"/>
                <w:szCs w:val="22"/>
              </w:rPr>
              <w:t>OHSMS持续的符合性及运行的有效性，以及与认证范围的持续相关性和适宜性及自我完善机制等。</w:t>
            </w:r>
          </w:p>
          <w:p>
            <w:pPr>
              <w:pStyle w:val="8"/>
              <w:widowControl w:val="0"/>
              <w:spacing w:line="240" w:lineRule="exact"/>
              <w:rPr>
                <w:b/>
                <w:color w:val="000000" w:themeColor="text1"/>
                <w:sz w:val="22"/>
                <w:szCs w:val="22"/>
              </w:rPr>
            </w:pPr>
          </w:p>
          <w:p>
            <w:pPr>
              <w:pStyle w:val="8"/>
              <w:widowControl w:val="0"/>
              <w:spacing w:line="240" w:lineRule="exact"/>
              <w:ind w:firstLine="420"/>
              <w:rPr>
                <w:b/>
                <w:color w:val="000000" w:themeColor="text1"/>
                <w:sz w:val="28"/>
                <w:szCs w:val="28"/>
              </w:rPr>
            </w:pPr>
            <w:r>
              <w:rPr>
                <w:rFonts w:hint="eastAsia" w:ascii="宋体" w:hAnsi="宋体" w:cs="宋体"/>
                <w:bCs/>
                <w:color w:val="000000" w:themeColor="text1"/>
                <w:szCs w:val="21"/>
                <w:lang w:val="en-US" w:eastAsia="zh-CN"/>
              </w:rPr>
              <w:t>该公司</w:t>
            </w:r>
            <w:r>
              <w:rPr>
                <w:rFonts w:ascii="宋体" w:hAnsi="宋体" w:cs="宋体"/>
                <w:bCs/>
                <w:color w:val="000000" w:themeColor="text1"/>
                <w:szCs w:val="21"/>
              </w:rPr>
              <w:t>体系运行满足标准要求，目标能达成，按法律法规和其他要求、顾客要求</w:t>
            </w:r>
            <w:r>
              <w:rPr>
                <w:rFonts w:hint="eastAsia" w:ascii="宋体" w:hAnsi="宋体" w:cs="宋体"/>
                <w:bCs/>
                <w:color w:val="000000" w:themeColor="text1"/>
                <w:szCs w:val="21"/>
                <w:lang w:val="en-US" w:eastAsia="zh-CN"/>
              </w:rPr>
              <w:t>进行</w:t>
            </w:r>
            <w:r>
              <w:rPr>
                <w:rFonts w:hint="eastAsia" w:ascii="宋体" w:hAnsi="宋体"/>
                <w:color w:val="000000" w:themeColor="text1"/>
                <w:sz w:val="20"/>
                <w:szCs w:val="20"/>
                <w:lang w:eastAsia="zh-CN"/>
              </w:rPr>
              <w:t>休闲运动鞋销售</w:t>
            </w:r>
            <w:r>
              <w:rPr>
                <w:rFonts w:ascii="宋体" w:hAnsi="宋体" w:cs="宋体"/>
                <w:bCs/>
                <w:color w:val="000000" w:themeColor="text1"/>
                <w:szCs w:val="21"/>
              </w:rPr>
              <w:t>，满足适用的环境/职业健康安全法规要求，防止环境污染和重大职业健康安全事故，对周边环境没有产生不利影响，实施措施基本有效。体系运行基本适宜、充分、有效，基本建立自我完善机制。</w:t>
            </w:r>
          </w:p>
        </w:tc>
      </w:tr>
      <w:tr>
        <w:tblPrEx>
          <w:tblCellMar>
            <w:top w:w="0" w:type="dxa"/>
            <w:left w:w="108" w:type="dxa"/>
            <w:bottom w:w="0" w:type="dxa"/>
            <w:right w:w="108" w:type="dxa"/>
          </w:tblCellMar>
        </w:tblPrEx>
        <w:trPr>
          <w:trHeight w:val="1764" w:hRule="atLeast"/>
        </w:trPr>
        <w:tc>
          <w:tcPr>
            <w:tcW w:w="10080" w:type="dxa"/>
            <w:tcBorders>
              <w:top w:val="single" w:color="000000" w:sz="4" w:space="0"/>
              <w:left w:val="single" w:color="000000" w:sz="4" w:space="0"/>
              <w:bottom w:val="single" w:color="000000" w:sz="4" w:space="0"/>
              <w:right w:val="single" w:color="000000" w:sz="4" w:space="0"/>
            </w:tcBorders>
          </w:tcPr>
          <w:p>
            <w:pPr>
              <w:pStyle w:val="8"/>
              <w:widowControl w:val="0"/>
              <w:rPr>
                <w:b/>
                <w:color w:val="000000" w:themeColor="text1"/>
              </w:rPr>
            </w:pPr>
            <w:r>
              <w:rPr>
                <w:b/>
                <w:color w:val="000000" w:themeColor="text1"/>
              </w:rPr>
              <w:t>2.对审核范围适宜性结论</w:t>
            </w:r>
          </w:p>
          <w:p>
            <w:pPr>
              <w:pStyle w:val="8"/>
              <w:widowControl w:val="0"/>
              <w:rPr>
                <w:b/>
                <w:color w:val="000000" w:themeColor="text1"/>
              </w:rPr>
            </w:pPr>
            <w:r>
              <w:rPr>
                <w:rFonts w:ascii="MS Mincho" w:hAnsi="MS Mincho" w:eastAsia="MS Mincho" w:cs="MS Mincho"/>
                <w:b/>
                <w:color w:val="000000" w:themeColor="text1"/>
                <w:spacing w:val="-10"/>
                <w:szCs w:val="21"/>
              </w:rPr>
              <w:t>☑</w:t>
            </w:r>
            <w:r>
              <w:rPr>
                <w:b/>
                <w:color w:val="000000" w:themeColor="text1"/>
              </w:rPr>
              <w:t>审核范围适宜，与申请范围一致</w:t>
            </w:r>
          </w:p>
          <w:p>
            <w:pPr>
              <w:pStyle w:val="8"/>
              <w:widowControl w:val="0"/>
              <w:rPr>
                <w:b/>
                <w:color w:val="000000" w:themeColor="text1"/>
              </w:rPr>
            </w:pPr>
            <w:r>
              <w:rPr>
                <w:b/>
                <w:color w:val="000000" w:themeColor="text1"/>
                <w:spacing w:val="-10"/>
                <w:szCs w:val="21"/>
              </w:rPr>
              <w:t>□</w:t>
            </w:r>
            <w:r>
              <w:rPr>
                <w:b/>
                <w:color w:val="000000" w:themeColor="text1"/>
              </w:rPr>
              <w:t>审核范围变更，</w:t>
            </w:r>
          </w:p>
          <w:p>
            <w:pPr>
              <w:pStyle w:val="8"/>
              <w:widowControl w:val="0"/>
              <w:spacing w:line="320" w:lineRule="exact"/>
              <w:rPr>
                <w:rFonts w:ascii="宋体" w:hAnsi="宋体"/>
                <w:b/>
                <w:color w:val="000000" w:themeColor="text1"/>
                <w:u w:val="single"/>
                <w:lang w:val="en-GB"/>
              </w:rPr>
            </w:pPr>
            <w:r>
              <w:rPr>
                <w:rFonts w:ascii="宋体" w:hAnsi="宋体"/>
                <w:b/>
                <w:color w:val="000000" w:themeColor="text1"/>
              </w:rPr>
              <w:t>EMS</w:t>
            </w:r>
            <w:r>
              <w:rPr>
                <w:rFonts w:ascii="宋体" w:hAnsi="宋体"/>
                <w:b/>
                <w:color w:val="000000" w:themeColor="text1"/>
                <w:lang w:val="en-GB"/>
              </w:rPr>
              <w:t>:</w:t>
            </w:r>
            <w:r>
              <w:rPr>
                <w:sz w:val="20"/>
              </w:rPr>
              <w:t xml:space="preserve"> </w:t>
            </w:r>
            <w:r>
              <w:rPr>
                <w:rFonts w:hint="eastAsia"/>
                <w:sz w:val="20"/>
                <w:lang w:eastAsia="zh-CN"/>
              </w:rPr>
              <w:t>休闲运动鞋</w:t>
            </w:r>
            <w:r>
              <w:rPr>
                <w:rFonts w:hint="eastAsia"/>
                <w:sz w:val="20"/>
                <w:lang w:val="en-US" w:eastAsia="zh-CN"/>
              </w:rPr>
              <w:t>的</w:t>
            </w:r>
            <w:r>
              <w:rPr>
                <w:rFonts w:hint="eastAsia"/>
                <w:sz w:val="20"/>
                <w:lang w:eastAsia="zh-CN"/>
              </w:rPr>
              <w:t>销售</w:t>
            </w:r>
            <w:r>
              <w:rPr>
                <w:sz w:val="20"/>
              </w:rPr>
              <w:t>所涉及场所的相关环境管理活动</w:t>
            </w:r>
          </w:p>
          <w:p>
            <w:pPr>
              <w:pStyle w:val="8"/>
              <w:widowControl w:val="0"/>
              <w:spacing w:line="320" w:lineRule="exact"/>
              <w:rPr>
                <w:rFonts w:ascii="宋体" w:hAnsi="宋体"/>
                <w:b/>
                <w:color w:val="000000" w:themeColor="text1"/>
                <w:u w:val="single"/>
                <w:lang w:val="en-GB"/>
              </w:rPr>
            </w:pPr>
            <w:r>
              <w:rPr>
                <w:rFonts w:ascii="宋体" w:hAnsi="宋体"/>
                <w:b/>
                <w:color w:val="000000" w:themeColor="text1"/>
              </w:rPr>
              <w:t>OHSMS</w:t>
            </w:r>
            <w:r>
              <w:rPr>
                <w:rFonts w:ascii="宋体" w:hAnsi="宋体"/>
                <w:b/>
                <w:color w:val="000000" w:themeColor="text1"/>
                <w:lang w:val="en-GB"/>
              </w:rPr>
              <w:t>:</w:t>
            </w:r>
            <w:r>
              <w:rPr>
                <w:sz w:val="20"/>
              </w:rPr>
              <w:t xml:space="preserve"> </w:t>
            </w:r>
            <w:r>
              <w:rPr>
                <w:rFonts w:hint="eastAsia"/>
                <w:sz w:val="20"/>
                <w:lang w:eastAsia="zh-CN"/>
              </w:rPr>
              <w:t>休闲运动鞋</w:t>
            </w:r>
            <w:r>
              <w:rPr>
                <w:rFonts w:hint="eastAsia"/>
                <w:sz w:val="20"/>
                <w:lang w:val="en-US" w:eastAsia="zh-CN"/>
              </w:rPr>
              <w:t>的</w:t>
            </w:r>
            <w:r>
              <w:rPr>
                <w:rFonts w:hint="eastAsia"/>
                <w:sz w:val="20"/>
                <w:lang w:eastAsia="zh-CN"/>
              </w:rPr>
              <w:t>销售</w:t>
            </w:r>
            <w:r>
              <w:rPr>
                <w:sz w:val="20"/>
              </w:rPr>
              <w:t>所涉及场所的相关职业健康安全管理活动</w:t>
            </w:r>
          </w:p>
          <w:p>
            <w:pPr>
              <w:pStyle w:val="8"/>
              <w:widowControl w:val="0"/>
              <w:snapToGrid w:val="0"/>
              <w:spacing w:line="280" w:lineRule="exact"/>
              <w:rPr>
                <w:b/>
                <w:color w:val="000000" w:themeColor="text1"/>
                <w:spacing w:val="-10"/>
                <w:sz w:val="22"/>
                <w:szCs w:val="22"/>
              </w:rPr>
            </w:pPr>
          </w:p>
        </w:tc>
      </w:tr>
      <w:tr>
        <w:tblPrEx>
          <w:tblCellMar>
            <w:top w:w="0" w:type="dxa"/>
            <w:left w:w="108" w:type="dxa"/>
            <w:bottom w:w="0" w:type="dxa"/>
            <w:right w:w="108" w:type="dxa"/>
          </w:tblCellMar>
        </w:tblPrEx>
        <w:trPr>
          <w:trHeight w:val="3206" w:hRule="atLeast"/>
        </w:trPr>
        <w:tc>
          <w:tcPr>
            <w:tcW w:w="10080" w:type="dxa"/>
            <w:tcBorders>
              <w:top w:val="single" w:color="000000" w:sz="4" w:space="0"/>
              <w:left w:val="single" w:color="000000" w:sz="4" w:space="0"/>
              <w:bottom w:val="single" w:color="000000" w:sz="4" w:space="0"/>
              <w:right w:val="single" w:color="000000" w:sz="4" w:space="0"/>
            </w:tcBorders>
          </w:tcPr>
          <w:p>
            <w:pPr>
              <w:pStyle w:val="8"/>
              <w:widowControl w:val="0"/>
              <w:rPr>
                <w:b/>
                <w:color w:val="000000" w:themeColor="text1"/>
                <w:sz w:val="16"/>
                <w:szCs w:val="16"/>
              </w:rPr>
            </w:pPr>
            <w:r>
              <w:rPr>
                <w:b/>
                <w:color w:val="000000" w:themeColor="text1"/>
              </w:rPr>
              <w:t>3. 审核组推荐意见</w:t>
            </w:r>
            <w:r>
              <w:rPr>
                <w:b/>
                <w:color w:val="000000" w:themeColor="text1"/>
                <w:sz w:val="16"/>
                <w:szCs w:val="16"/>
              </w:rPr>
              <w:t>：</w:t>
            </w:r>
          </w:p>
          <w:p>
            <w:pPr>
              <w:pStyle w:val="8"/>
              <w:widowControl w:val="0"/>
              <w:rPr>
                <w:b/>
                <w:color w:val="000000" w:themeColor="text1"/>
              </w:rPr>
            </w:pPr>
            <w:r>
              <w:rPr>
                <w:b/>
                <w:color w:val="000000" w:themeColor="text1"/>
                <w:spacing w:val="-10"/>
                <w:szCs w:val="21"/>
              </w:rPr>
              <w:t>□</w:t>
            </w:r>
            <w:r>
              <w:rPr>
                <w:b/>
                <w:color w:val="000000" w:themeColor="text1"/>
              </w:rPr>
              <w:t>推荐认证注册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8"/>
              <w:widowControl w:val="0"/>
              <w:rPr>
                <w:b/>
                <w:color w:val="000000" w:themeColor="text1"/>
                <w:spacing w:val="-10"/>
                <w:sz w:val="22"/>
                <w:szCs w:val="22"/>
              </w:rPr>
            </w:pPr>
            <w:r>
              <w:rPr>
                <w:rFonts w:ascii="MS Mincho" w:hAnsi="MS Mincho" w:eastAsia="MS Mincho" w:cs="MS Mincho"/>
                <w:b/>
                <w:color w:val="000000" w:themeColor="text1"/>
                <w:spacing w:val="-10"/>
                <w:szCs w:val="21"/>
              </w:rPr>
              <w:t>☑</w:t>
            </w:r>
            <w:r>
              <w:rPr>
                <w:b/>
                <w:color w:val="000000" w:themeColor="text1"/>
                <w:spacing w:val="-4"/>
              </w:rPr>
              <w:t>在完成纠正措施后</w:t>
            </w:r>
            <w:r>
              <w:rPr>
                <w:b/>
                <w:color w:val="000000" w:themeColor="text1"/>
              </w:rPr>
              <w:t>推荐认证注册</w:t>
            </w:r>
            <w:r>
              <w:rPr>
                <w:b/>
                <w:color w:val="000000" w:themeColor="text1"/>
                <w:szCs w:val="21"/>
              </w:rPr>
              <w:t>(</w:t>
            </w:r>
            <w:r>
              <w:rPr>
                <w:rFonts w:hint="eastAsia" w:ascii="MS Mincho" w:hAnsi="MS Mincho" w:eastAsia="MS Mincho" w:cs="MS Mincho"/>
                <w:b/>
                <w:color w:val="000000" w:themeColor="text1"/>
                <w:spacing w:val="-10"/>
                <w:szCs w:val="21"/>
                <w:lang w:eastAsia="zh-CN"/>
              </w:rPr>
              <w:t>□</w:t>
            </w:r>
            <w:r>
              <w:rPr>
                <w:b/>
                <w:color w:val="000000" w:themeColor="text1"/>
                <w:szCs w:val="21"/>
              </w:rPr>
              <w:t xml:space="preserve">QMS  </w:t>
            </w:r>
            <w:r>
              <w:rPr>
                <w:rFonts w:ascii="MS Mincho" w:hAnsi="MS Mincho" w:eastAsia="MS Mincho" w:cs="MS Mincho"/>
                <w:b/>
                <w:color w:val="000000" w:themeColor="text1"/>
                <w:spacing w:val="-10"/>
                <w:szCs w:val="21"/>
              </w:rPr>
              <w:t>☑</w:t>
            </w:r>
            <w:r>
              <w:rPr>
                <w:b/>
                <w:color w:val="000000" w:themeColor="text1"/>
                <w:szCs w:val="21"/>
              </w:rPr>
              <w:t xml:space="preserve">EMS   </w:t>
            </w:r>
            <w:r>
              <w:rPr>
                <w:rFonts w:ascii="MS Mincho" w:hAnsi="MS Mincho" w:eastAsia="MS Mincho" w:cs="MS Mincho"/>
                <w:b/>
                <w:color w:val="000000" w:themeColor="text1"/>
                <w:spacing w:val="-10"/>
                <w:szCs w:val="21"/>
              </w:rPr>
              <w:t>☑</w:t>
            </w:r>
            <w:r>
              <w:rPr>
                <w:b/>
                <w:color w:val="000000" w:themeColor="text1"/>
                <w:szCs w:val="21"/>
              </w:rPr>
              <w:t>OHSMS)</w:t>
            </w:r>
          </w:p>
          <w:p>
            <w:pPr>
              <w:pStyle w:val="8"/>
              <w:widowControl w:val="0"/>
              <w:rPr>
                <w:b/>
                <w:color w:val="000000" w:themeColor="text1"/>
                <w:spacing w:val="-4"/>
                <w:szCs w:val="21"/>
              </w:rPr>
            </w:pPr>
            <w:r>
              <w:rPr>
                <w:b/>
                <w:color w:val="000000" w:themeColor="text1"/>
                <w:spacing w:val="-10"/>
                <w:szCs w:val="21"/>
              </w:rPr>
              <w:t>□</w:t>
            </w:r>
            <w:r>
              <w:rPr>
                <w:b/>
                <w:color w:val="000000" w:themeColor="text1"/>
              </w:rPr>
              <w:t>推荐保持认证注册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8"/>
              <w:widowControl w:val="0"/>
              <w:rPr>
                <w:b/>
                <w:color w:val="000000" w:themeColor="text1"/>
                <w:spacing w:val="-4"/>
                <w:szCs w:val="21"/>
              </w:rPr>
            </w:pPr>
            <w:r>
              <w:rPr>
                <w:b/>
                <w:color w:val="000000" w:themeColor="text1"/>
                <w:spacing w:val="-10"/>
                <w:szCs w:val="21"/>
              </w:rPr>
              <w:t>□</w:t>
            </w:r>
            <w:r>
              <w:rPr>
                <w:b/>
                <w:color w:val="000000" w:themeColor="text1"/>
                <w:spacing w:val="-4"/>
              </w:rPr>
              <w:t>(在完成纠正措施后</w:t>
            </w:r>
            <w:r>
              <w:rPr>
                <w:b/>
                <w:color w:val="000000" w:themeColor="text1"/>
              </w:rPr>
              <w:t>推荐保持认证注册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8"/>
              <w:widowControl w:val="0"/>
              <w:rPr>
                <w:b/>
                <w:color w:val="000000" w:themeColor="text1"/>
                <w:spacing w:val="-4"/>
                <w:szCs w:val="21"/>
              </w:rPr>
            </w:pPr>
            <w:r>
              <w:rPr>
                <w:b/>
                <w:color w:val="000000" w:themeColor="text1"/>
                <w:spacing w:val="-10"/>
                <w:szCs w:val="21"/>
              </w:rPr>
              <w:t>□</w:t>
            </w:r>
            <w:r>
              <w:rPr>
                <w:b/>
                <w:color w:val="000000" w:themeColor="text1"/>
              </w:rPr>
              <w:t>推荐扩大范围</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8"/>
              <w:widowControl w:val="0"/>
              <w:rPr>
                <w:b/>
                <w:color w:val="000000" w:themeColor="text1"/>
                <w:szCs w:val="21"/>
              </w:rPr>
            </w:pPr>
            <w:r>
              <w:rPr>
                <w:b/>
                <w:color w:val="000000" w:themeColor="text1"/>
                <w:spacing w:val="-10"/>
                <w:szCs w:val="21"/>
              </w:rPr>
              <w:t>□</w:t>
            </w:r>
            <w:r>
              <w:rPr>
                <w:b/>
                <w:color w:val="000000" w:themeColor="text1"/>
                <w:spacing w:val="-4"/>
              </w:rPr>
              <w:t>在完成纠正措施后</w:t>
            </w:r>
            <w:r>
              <w:rPr>
                <w:b/>
                <w:color w:val="000000" w:themeColor="text1"/>
              </w:rPr>
              <w:t>推荐扩大范围</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8"/>
              <w:widowControl w:val="0"/>
              <w:rPr>
                <w:b/>
                <w:color w:val="000000" w:themeColor="text1"/>
                <w:szCs w:val="21"/>
              </w:rPr>
            </w:pPr>
            <w:r>
              <w:rPr>
                <w:b/>
                <w:color w:val="000000" w:themeColor="text1"/>
                <w:spacing w:val="-10"/>
                <w:szCs w:val="21"/>
              </w:rPr>
              <w:t>□</w:t>
            </w:r>
            <w:r>
              <w:rPr>
                <w:b/>
                <w:color w:val="000000" w:themeColor="text1"/>
              </w:rPr>
              <w:t>延期推荐注册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8"/>
              <w:widowControl w:val="0"/>
              <w:snapToGrid w:val="0"/>
              <w:rPr>
                <w:b/>
                <w:color w:val="000000" w:themeColor="text1"/>
                <w:szCs w:val="21"/>
              </w:rPr>
            </w:pPr>
            <w:r>
              <w:rPr>
                <w:b/>
                <w:color w:val="000000" w:themeColor="text1"/>
                <w:spacing w:val="-10"/>
                <w:szCs w:val="21"/>
              </w:rPr>
              <w:t>□</w:t>
            </w:r>
            <w:r>
              <w:rPr>
                <w:b/>
                <w:color w:val="000000" w:themeColor="text1"/>
              </w:rPr>
              <w:t>不推荐认证注册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pPr>
              <w:pStyle w:val="8"/>
              <w:widowControl w:val="0"/>
              <w:snapToGrid w:val="0"/>
              <w:rPr>
                <w:b/>
                <w:color w:val="000000" w:themeColor="text1"/>
                <w:spacing w:val="-10"/>
                <w:sz w:val="16"/>
                <w:szCs w:val="16"/>
              </w:rPr>
            </w:pPr>
            <w:r>
              <w:rPr>
                <w:b/>
                <w:color w:val="000000" w:themeColor="text1"/>
                <w:spacing w:val="-10"/>
                <w:szCs w:val="21"/>
              </w:rPr>
              <w:t>□不推荐或缩小推荐范围的说明</w:t>
            </w:r>
            <w:r>
              <w:rPr>
                <w:b/>
                <w:color w:val="000000" w:themeColor="text1"/>
                <w:spacing w:val="-10"/>
                <w:sz w:val="16"/>
                <w:szCs w:val="16"/>
              </w:rPr>
              <w:t>:</w:t>
            </w:r>
          </w:p>
        </w:tc>
      </w:tr>
      <w:tr>
        <w:tblPrEx>
          <w:tblCellMar>
            <w:top w:w="0" w:type="dxa"/>
            <w:left w:w="108" w:type="dxa"/>
            <w:bottom w:w="0" w:type="dxa"/>
            <w:right w:w="108" w:type="dxa"/>
          </w:tblCellMar>
        </w:tblPrEx>
        <w:trPr>
          <w:trHeight w:val="100" w:hRule="atLeast"/>
        </w:trPr>
        <w:tc>
          <w:tcPr>
            <w:tcW w:w="10080" w:type="dxa"/>
            <w:tcBorders>
              <w:top w:val="single" w:color="000000" w:sz="4" w:space="0"/>
            </w:tcBorders>
          </w:tcPr>
          <w:p>
            <w:pPr>
              <w:pStyle w:val="8"/>
              <w:widowControl w:val="0"/>
              <w:spacing w:line="360" w:lineRule="auto"/>
              <w:rPr>
                <w:b/>
                <w:color w:val="000000" w:themeColor="text1"/>
              </w:rPr>
            </w:pPr>
          </w:p>
        </w:tc>
      </w:tr>
    </w:tbl>
    <w:p>
      <w:pPr>
        <w:pStyle w:val="7"/>
        <w:spacing w:before="280" w:after="280" w:line="360" w:lineRule="auto"/>
        <w:ind w:left="-67" w:hanging="924"/>
        <w:rPr>
          <w:rFonts w:ascii="仿宋" w:hAnsi="仿宋" w:eastAsia="仿宋"/>
          <w:color w:val="000000" w:themeColor="text1"/>
          <w:kern w:val="2"/>
          <w:sz w:val="28"/>
          <w:szCs w:val="28"/>
        </w:rPr>
      </w:pPr>
      <w:r>
        <w:rPr>
          <w:b/>
          <w:color w:val="000000" w:themeColor="text1"/>
          <w:sz w:val="26"/>
          <w:szCs w:val="26"/>
        </w:rPr>
        <w:t>十一、</w:t>
      </w:r>
      <w:r>
        <w:rPr>
          <w:rFonts w:ascii="仿宋" w:hAnsi="仿宋" w:eastAsia="仿宋"/>
          <w:color w:val="000000" w:themeColor="text1"/>
          <w:kern w:val="2"/>
          <w:sz w:val="28"/>
          <w:szCs w:val="28"/>
        </w:rPr>
        <w:t xml:space="preserve">审核基于对可获得信息的抽样过程的免责声明； </w:t>
      </w:r>
    </w:p>
    <w:p>
      <w:pPr>
        <w:pStyle w:val="8"/>
        <w:snapToGrid w:val="0"/>
        <w:spacing w:line="360" w:lineRule="auto"/>
        <w:ind w:left="-853" w:firstLine="424"/>
        <w:jc w:val="left"/>
        <w:rPr>
          <w:b/>
          <w:color w:val="000000" w:themeColor="text1"/>
        </w:rPr>
      </w:pPr>
      <w:r>
        <w:rPr>
          <w:rFonts w:ascii="方正仿宋简体" w:hAns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pStyle w:val="8"/>
        <w:tabs>
          <w:tab w:val="left" w:pos="645"/>
        </w:tabs>
        <w:spacing w:line="360" w:lineRule="auto"/>
        <w:ind w:left="-850" w:firstLine="0"/>
        <w:rPr>
          <w:b/>
          <w:color w:val="000000" w:themeColor="text1"/>
          <w:sz w:val="14"/>
          <w:szCs w:val="14"/>
        </w:rPr>
      </w:pPr>
      <w:r>
        <w:rPr>
          <w:b/>
          <w:color w:val="000000" w:themeColor="text1"/>
          <w:sz w:val="26"/>
          <w:szCs w:val="26"/>
        </w:rPr>
        <w:t>十二、不符合项纠正措施要求</w:t>
      </w:r>
    </w:p>
    <w:p>
      <w:pPr>
        <w:pStyle w:val="8"/>
        <w:spacing w:line="360" w:lineRule="auto"/>
        <w:ind w:left="-850" w:firstLine="422"/>
        <w:rPr>
          <w:b/>
          <w:color w:val="000000" w:themeColor="text1"/>
        </w:rPr>
      </w:pPr>
      <w:r>
        <w:rPr>
          <w:b/>
          <w:color w:val="000000" w:themeColor="text1"/>
        </w:rPr>
        <w:t>一般不符合报告在天/严重不符合在30天针对不符合原因制定并实施纠正措施。验证方式见不符合项报告。</w:t>
      </w:r>
    </w:p>
    <w:p>
      <w:pPr>
        <w:pStyle w:val="8"/>
        <w:spacing w:before="156" w:after="156"/>
        <w:ind w:left="1" w:hanging="851"/>
        <w:rPr>
          <w:rFonts w:hint="eastAsia"/>
          <w:b/>
          <w:color w:val="000000" w:themeColor="text1"/>
          <w:sz w:val="26"/>
          <w:szCs w:val="26"/>
        </w:rPr>
      </w:pPr>
      <w:r>
        <w:rPr>
          <w:b/>
          <w:color w:val="000000" w:themeColor="text1"/>
          <w:sz w:val="26"/>
          <w:szCs w:val="26"/>
        </w:rPr>
        <w:t>十三、</w:t>
      </w:r>
      <w:r>
        <w:rPr>
          <w:rFonts w:ascii="仿宋" w:hAnsi="仿宋" w:eastAsia="仿宋" w:cstheme="minorBidi"/>
          <w:color w:val="000000" w:themeColor="text1"/>
          <w:kern w:val="2"/>
          <w:sz w:val="28"/>
          <w:szCs w:val="28"/>
        </w:rPr>
        <w:t xml:space="preserve"> 任何影响审核方案的重要事项</w:t>
      </w:r>
      <w:r>
        <w:rPr>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pStyle w:val="2"/>
        <w:rPr>
          <w:b/>
          <w:color w:val="000000" w:themeColor="text1"/>
          <w:sz w:val="16"/>
          <w:szCs w:val="16"/>
        </w:rPr>
      </w:pPr>
    </w:p>
    <w:p>
      <w:pPr>
        <w:pStyle w:val="3"/>
        <w:rPr>
          <w:b/>
          <w:color w:val="000000" w:themeColor="text1"/>
          <w:sz w:val="16"/>
          <w:szCs w:val="16"/>
        </w:rPr>
      </w:pPr>
    </w:p>
    <w:p>
      <w:pPr>
        <w:pStyle w:val="3"/>
        <w:rPr>
          <w:b/>
          <w:color w:val="000000" w:themeColor="text1"/>
          <w:sz w:val="16"/>
          <w:szCs w:val="16"/>
        </w:rPr>
      </w:pPr>
    </w:p>
    <w:p>
      <w:pPr>
        <w:pStyle w:val="3"/>
        <w:rPr>
          <w:b/>
          <w:color w:val="000000" w:themeColor="text1"/>
          <w:sz w:val="16"/>
          <w:szCs w:val="16"/>
        </w:rPr>
      </w:pPr>
    </w:p>
    <w:p>
      <w:pPr>
        <w:pStyle w:val="3"/>
        <w:rPr>
          <w:b/>
          <w:color w:val="000000" w:themeColor="text1"/>
          <w:sz w:val="16"/>
          <w:szCs w:val="16"/>
        </w:rPr>
      </w:pPr>
    </w:p>
    <w:p>
      <w:pPr>
        <w:pStyle w:val="3"/>
        <w:rPr>
          <w:b/>
          <w:color w:val="000000" w:themeColor="text1"/>
          <w:sz w:val="16"/>
          <w:szCs w:val="16"/>
        </w:rPr>
      </w:pPr>
    </w:p>
    <w:p>
      <w:pPr>
        <w:pStyle w:val="3"/>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bookmarkStart w:id="22" w:name="_GoBack"/>
      <w:bookmarkEnd w:id="22"/>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S Mincho">
    <w:altName w:val="宋体"/>
    <w:panose1 w:val="00000000000000000000"/>
    <w:charset w:val="86"/>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drawing>
        <wp:anchor distT="0" distB="0" distL="114300" distR="114300" simplePos="0" relativeHeight="251660288" behindDoc="1" locked="0" layoutInCell="1" allowOverlap="1">
          <wp:simplePos x="0" y="0"/>
          <wp:positionH relativeFrom="column">
            <wp:posOffset>-29210</wp:posOffset>
          </wp:positionH>
          <wp:positionV relativeFrom="paragraph">
            <wp:posOffset>-157480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4097" o:spid="_x0000_s4097"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4B1C26"/>
    <w:rsid w:val="058B45A3"/>
    <w:rsid w:val="1234439B"/>
    <w:rsid w:val="143750C0"/>
    <w:rsid w:val="18DC255E"/>
    <w:rsid w:val="1A477BEF"/>
    <w:rsid w:val="330449E6"/>
    <w:rsid w:val="43B219D4"/>
    <w:rsid w:val="445D75EB"/>
    <w:rsid w:val="4AA44988"/>
    <w:rsid w:val="5CE433BD"/>
    <w:rsid w:val="648956F1"/>
    <w:rsid w:val="6FA95B4D"/>
    <w:rsid w:val="753B52F6"/>
    <w:rsid w:val="756E3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6"/>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8"/>
    <w:semiHidden/>
    <w:unhideWhenUsed/>
    <w:uiPriority w:val="99"/>
    <w:pPr>
      <w:widowControl/>
      <w:spacing w:before="100" w:beforeAutospacing="1" w:after="100" w:afterAutospacing="1"/>
      <w:jc w:val="left"/>
    </w:pPr>
    <w:rPr>
      <w:rFonts w:ascii="宋体" w:hAnsi="宋体" w:cs="宋体"/>
      <w:kern w:val="0"/>
      <w:sz w:val="24"/>
    </w:rPr>
  </w:style>
  <w:style w:type="paragraph" w:customStyle="1" w:styleId="8">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东方正文"/>
    <w:basedOn w:val="8"/>
    <w:qFormat/>
    <w:uiPriority w:val="0"/>
    <w:pPr>
      <w:spacing w:line="400" w:lineRule="exact"/>
      <w:ind w:left="284" w:right="284" w:firstLine="0"/>
    </w:pPr>
    <w:rPr>
      <w:sz w:val="24"/>
      <w:szCs w:val="20"/>
    </w:rPr>
  </w:style>
  <w:style w:type="paragraph" w:customStyle="1" w:styleId="20">
    <w:name w:val="正文文本1"/>
    <w:basedOn w:val="8"/>
    <w:unhideWhenUsed/>
    <w:qFormat/>
    <w:uiPriority w:val="99"/>
    <w:pPr>
      <w:spacing w:before="0" w:after="120"/>
    </w:pPr>
  </w:style>
  <w:style w:type="paragraph" w:customStyle="1" w:styleId="21">
    <w:name w:val="列表段落"/>
    <w:basedOn w:val="8"/>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16</TotalTime>
  <ScaleCrop>false</ScaleCrop>
  <LinksUpToDate>false</LinksUpToDate>
  <CharactersWithSpaces>5057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汪桂丽</cp:lastModifiedBy>
  <cp:lastPrinted>2019-05-13T03:19:00Z</cp:lastPrinted>
  <dcterms:modified xsi:type="dcterms:W3CDTF">2021-08-11T07:58:05Z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6951DD60CC2447499308E4CCF07112CF</vt:lpwstr>
  </property>
</Properties>
</file>