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福建欧航消防设备有限公司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汪桂丽</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强兴</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O:实习审核员</w:t>
            </w:r>
          </w:p>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p>
            <w:pPr>
              <w:spacing w:line="240" w:lineRule="exact"/>
              <w:jc w:val="center"/>
              <w:rPr>
                <w:b/>
                <w:color w:val="000000" w:themeColor="text1"/>
                <w:sz w:val="20"/>
                <w:szCs w:val="20"/>
              </w:rPr>
            </w:pPr>
            <w:r>
              <w:rPr>
                <w:b/>
                <w:color w:val="000000" w:themeColor="text1"/>
                <w:sz w:val="20"/>
                <w:szCs w:val="20"/>
              </w:rPr>
              <w:t>Q:29.12.00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sz w:val="20"/>
              </w:rPr>
              <w:t>■</w:t>
            </w:r>
            <w:r>
              <w:rPr>
                <w:rFonts w:ascii="宋体" w:cs="宋体" w:hAnsiTheme="minorHAnsi"/>
                <w:color w:val="000000" w:themeColor="text1"/>
                <w:kern w:val="0"/>
                <w:sz w:val="20"/>
                <w:szCs w:val="20"/>
              </w:rPr>
              <w:t>QMS/</w:t>
            </w:r>
            <w:r>
              <w:rPr>
                <w:rFonts w:hint="eastAsia"/>
                <w:sz w:val="20"/>
              </w:rPr>
              <w:t>■</w:t>
            </w:r>
            <w:r>
              <w:rPr>
                <w:rFonts w:ascii="宋体" w:cs="宋体" w:hAnsiTheme="minorHAnsi"/>
                <w:color w:val="000000" w:themeColor="text1"/>
                <w:kern w:val="0"/>
                <w:sz w:val="20"/>
                <w:szCs w:val="20"/>
              </w:rPr>
              <w:t>EMS/</w:t>
            </w:r>
            <w:r>
              <w:rPr>
                <w:rFonts w:hint="eastAsia"/>
                <w:sz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24001-2016/ISO14001:2015,O：GB/T45001-2020 / ISO45001：2018,Q：GB/T19001-2016/ISO9001:2015</w:t>
      </w:r>
      <w:bookmarkEnd w:id="4"/>
    </w:p>
    <w:p>
      <w:pPr>
        <w:jc w:val="left"/>
        <w:rPr>
          <w:rFonts w:hint="eastAsia" w:ascii="宋体" w:hAnsi="宋体"/>
          <w:b/>
          <w:color w:val="000000" w:themeColor="text1"/>
          <w:spacing w:val="-10"/>
          <w:sz w:val="20"/>
          <w:szCs w:val="20"/>
        </w:rPr>
      </w:pPr>
    </w:p>
    <w:p>
      <w:pPr>
        <w:pStyle w:val="15"/>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福建欧航消防设备有限公司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福建省莆田市秀屿区笏石镇丙仑村大仑366号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z w:val="20"/>
                <w:szCs w:val="20"/>
              </w:rPr>
              <w:t>351146</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福建省莆田市秀屿区笏石镇丙仑村大仑366号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351146</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黄新元</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18950709922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黄新元</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ind w:firstLine="236" w:firstLineChars="0"/>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黄新元</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陈春华</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E：钢质防火门、防盗门的销售所涉及场所的相关环境管理活动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O：钢质防火门、防盗门的销售所涉及场所的相关职业健康安全管理活动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Q：钢质防火门、防盗门的销售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p>
          <w:p>
            <w:pPr>
              <w:spacing w:line="320" w:lineRule="exact"/>
              <w:rPr>
                <w:rFonts w:ascii="宋体" w:hAnsi="宋体"/>
                <w:b/>
                <w:color w:val="000000" w:themeColor="text1"/>
                <w:sz w:val="20"/>
                <w:szCs w:val="20"/>
              </w:rPr>
            </w:pPr>
            <w:r>
              <w:rPr>
                <w:rFonts w:ascii="宋体" w:hAnsi="宋体"/>
                <w:b/>
                <w:color w:val="000000" w:themeColor="text1"/>
                <w:sz w:val="20"/>
                <w:szCs w:val="20"/>
              </w:rPr>
              <w:t>Q：29.12.00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sz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2021-02-01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b/>
                <w:color w:val="000000" w:themeColor="text1"/>
                <w:sz w:val="20"/>
                <w:szCs w:val="20"/>
              </w:rPr>
            </w:pPr>
            <w:r>
              <w:rPr>
                <w:rFonts w:ascii="宋体" w:hAnsi="宋体"/>
                <w:b/>
                <w:color w:val="000000" w:themeColor="text1"/>
                <w:sz w:val="20"/>
                <w:szCs w:val="20"/>
              </w:rPr>
              <w:t>福建省莆田市秀屿区笏石镇丙仑村大仑366号</w:t>
            </w:r>
          </w:p>
          <w:p>
            <w:pPr>
              <w:widowControl/>
              <w:jc w:val="left"/>
              <w:rPr>
                <w:rFonts w:hint="eastAsia" w:ascii="宋体" w:hAnsi="宋体"/>
                <w:b/>
                <w:color w:val="000000" w:themeColor="text1"/>
                <w:sz w:val="20"/>
                <w:szCs w:val="20"/>
              </w:rPr>
            </w:pPr>
          </w:p>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pStyle w:val="9"/>
        <w:ind w:left="-1" w:hanging="707"/>
        <w:rPr>
          <w:rFonts w:ascii="宋体" w:hAnsi="宋体"/>
          <w:b/>
          <w:color w:val="000000" w:themeColor="text1"/>
          <w:sz w:val="16"/>
          <w:szCs w:val="16"/>
        </w:rPr>
      </w:pPr>
      <w:r>
        <w:rPr>
          <w:rFonts w:ascii="宋体" w:hAnsi="宋体"/>
          <w:b/>
          <w:color w:val="000000" w:themeColor="text1"/>
          <w:sz w:val="26"/>
          <w:szCs w:val="26"/>
        </w:rPr>
        <w:t>五、审核活动综述</w:t>
      </w:r>
    </w:p>
    <w:p>
      <w:pPr>
        <w:pStyle w:val="9"/>
        <w:spacing w:line="360" w:lineRule="auto"/>
        <w:ind w:left="-158" w:hanging="550"/>
        <w:rPr>
          <w:rFonts w:ascii="宋体" w:hAnsi="宋体"/>
          <w:b/>
          <w:color w:val="000000" w:themeColor="text1"/>
          <w:spacing w:val="-4"/>
          <w:sz w:val="16"/>
          <w:szCs w:val="16"/>
        </w:rPr>
      </w:pPr>
      <w:r>
        <w:rPr>
          <w:rFonts w:ascii="宋体" w:hAnsi="宋体"/>
          <w:b/>
          <w:color w:val="000000" w:themeColor="text1"/>
          <w:spacing w:val="-4"/>
          <w:szCs w:val="21"/>
        </w:rPr>
        <w:t>1. 本次审核活动按审核计划执行（见附件1）。</w:t>
      </w:r>
    </w:p>
    <w:p>
      <w:pPr>
        <w:pStyle w:val="9"/>
        <w:spacing w:line="360" w:lineRule="auto"/>
        <w:ind w:left="-137" w:hanging="571"/>
        <w:rPr>
          <w:rFonts w:ascii="宋体" w:hAnsi="宋体"/>
          <w:b/>
          <w:color w:val="000000" w:themeColor="text1"/>
          <w:szCs w:val="21"/>
        </w:rPr>
      </w:pPr>
      <w:r>
        <w:rPr>
          <w:rFonts w:ascii="宋体" w:hAnsi="宋体"/>
          <w:b/>
          <w:color w:val="000000" w:themeColor="text1"/>
          <w:szCs w:val="21"/>
        </w:rPr>
        <w:t>2.已审核总部的部门、职能或过程：</w:t>
      </w:r>
    </w:p>
    <w:tbl>
      <w:tblPr>
        <w:tblStyle w:val="11"/>
        <w:tblW w:w="9923"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pStyle w:val="9"/>
              <w:widowControl w:val="0"/>
              <w:spacing w:before="0" w:after="0"/>
              <w:jc w:val="center"/>
              <w:rPr>
                <w:rFonts w:ascii="宋体" w:hAnsi="宋体"/>
                <w:b/>
                <w:color w:val="000000" w:themeColor="text1"/>
                <w:spacing w:val="-2"/>
                <w:sz w:val="20"/>
                <w:szCs w:val="20"/>
              </w:rPr>
            </w:pPr>
            <w:r>
              <w:rPr>
                <w:rFonts w:ascii="宋体" w:hAnsi="宋体" w:cs="Times New Roman"/>
                <w:b/>
                <w:color w:val="000000" w:themeColor="text1"/>
                <w:sz w:val="20"/>
                <w:szCs w:val="20"/>
                <w:lang w:val="en-US" w:eastAsia="zh-CN" w:bidi="ar-SA"/>
              </w:rPr>
              <w:t>部门</w:t>
            </w:r>
            <w:r>
              <w:rPr>
                <w:rFonts w:ascii="宋体" w:hAnsi="宋体" w:eastAsia="宋体" w:cs="Times New Roman"/>
                <w:b/>
                <w:color w:val="000000" w:themeColor="text1"/>
                <w:spacing w:val="-2"/>
                <w:sz w:val="20"/>
                <w:szCs w:val="20"/>
                <w:lang w:val="en-US" w:eastAsia="zh-CN" w:bidi="ar-SA"/>
              </w:rPr>
              <w:t>:</w:t>
            </w:r>
          </w:p>
        </w:tc>
        <w:tc>
          <w:tcPr>
            <w:tcW w:w="6804" w:type="dxa"/>
          </w:tcPr>
          <w:p>
            <w:pPr>
              <w:pStyle w:val="9"/>
              <w:widowControl w:val="0"/>
              <w:spacing w:before="0" w:after="0"/>
              <w:jc w:val="center"/>
              <w:rPr>
                <w:rFonts w:ascii="宋体" w:hAnsi="宋体"/>
                <w:b/>
                <w:color w:val="000000" w:themeColor="text1"/>
                <w:sz w:val="20"/>
                <w:szCs w:val="20"/>
              </w:rPr>
            </w:pPr>
            <w:r>
              <w:rPr>
                <w:rFonts w:ascii="宋体" w:hAnsi="宋体" w:cs="Times New Roman"/>
                <w:b/>
                <w:color w:val="000000" w:themeColor="text1"/>
                <w:sz w:val="20"/>
                <w:szCs w:val="20"/>
                <w:lang w:val="en-US" w:eastAsia="zh-CN" w:bidi="ar-SA"/>
              </w:rPr>
              <w:t>职能或过程</w:t>
            </w:r>
            <w:r>
              <w:rPr>
                <w:rFonts w:ascii="宋体" w:hAnsi="宋体" w:eastAsia="宋体" w:cs="Times New Roman"/>
                <w:b/>
                <w:color w:val="000000" w:themeColor="text1"/>
                <w:spacing w:val="-2"/>
                <w:sz w:val="20"/>
                <w:szCs w:val="20"/>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pStyle w:val="9"/>
              <w:widowControl w:val="0"/>
              <w:spacing w:before="0" w:after="0"/>
              <w:jc w:val="center"/>
              <w:rPr>
                <w:rFonts w:ascii="宋体" w:hAnsi="宋体"/>
                <w:b/>
                <w:color w:val="000000" w:themeColor="text1"/>
                <w:sz w:val="20"/>
                <w:szCs w:val="20"/>
              </w:rPr>
            </w:pPr>
            <w:r>
              <w:rPr>
                <w:rFonts w:ascii="宋体" w:hAnsi="宋体" w:cs="Times New Roman"/>
                <w:b/>
                <w:color w:val="000000" w:themeColor="text1"/>
                <w:sz w:val="20"/>
                <w:szCs w:val="20"/>
                <w:lang w:val="en-US" w:eastAsia="zh-CN" w:bidi="ar-SA"/>
              </w:rPr>
              <w:t>管理层</w:t>
            </w:r>
          </w:p>
        </w:tc>
        <w:tc>
          <w:tcPr>
            <w:tcW w:w="6804" w:type="dxa"/>
          </w:tcPr>
          <w:p>
            <w:pPr>
              <w:pStyle w:val="9"/>
              <w:widowControl w:val="0"/>
              <w:spacing w:before="0" w:after="0"/>
              <w:jc w:val="left"/>
              <w:rPr>
                <w:rFonts w:ascii="宋体" w:hAnsi="宋体"/>
                <w:b/>
                <w:color w:val="000000" w:themeColor="text1"/>
                <w:spacing w:val="-20"/>
                <w:szCs w:val="21"/>
                <w:u w:val="single"/>
              </w:rPr>
            </w:pPr>
            <w:r>
              <w:rPr>
                <w:rFonts w:ascii="宋体" w:hAnsi="宋体" w:cs="Times New Roman"/>
                <w:color w:val="000000" w:themeColor="text1"/>
                <w:szCs w:val="21"/>
                <w:lang w:val="en-US" w:eastAsia="zh-CN" w:bidi="ar-SA"/>
              </w:rPr>
              <w:t>组织环境、风险和机遇、领导作用、管理评审、资质等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pStyle w:val="9"/>
              <w:widowControl w:val="0"/>
              <w:spacing w:before="0" w:after="0"/>
              <w:jc w:val="center"/>
              <w:rPr>
                <w:rFonts w:ascii="宋体" w:hAnsi="宋体"/>
                <w:b/>
                <w:color w:val="000000" w:themeColor="text1"/>
                <w:sz w:val="20"/>
                <w:szCs w:val="20"/>
              </w:rPr>
            </w:pPr>
            <w:r>
              <w:rPr>
                <w:rFonts w:hint="eastAsia" w:ascii="宋体" w:hAnsi="宋体" w:cs="Times New Roman"/>
                <w:b/>
                <w:color w:val="000000" w:themeColor="text1"/>
                <w:sz w:val="20"/>
                <w:szCs w:val="20"/>
                <w:lang w:val="en-US" w:eastAsia="zh-CN" w:bidi="ar-SA"/>
              </w:rPr>
              <w:t>行政部</w:t>
            </w:r>
            <w:r>
              <w:rPr>
                <w:rFonts w:ascii="宋体" w:hAnsi="宋体" w:cs="Times New Roman"/>
                <w:b/>
                <w:color w:val="000000" w:themeColor="text1"/>
                <w:sz w:val="20"/>
                <w:szCs w:val="20"/>
                <w:lang w:val="en-US" w:eastAsia="zh-CN" w:bidi="ar-SA"/>
              </w:rPr>
              <w:t>部</w:t>
            </w:r>
          </w:p>
        </w:tc>
        <w:tc>
          <w:tcPr>
            <w:tcW w:w="6804" w:type="dxa"/>
          </w:tcPr>
          <w:p>
            <w:pPr>
              <w:pStyle w:val="9"/>
              <w:widowControl w:val="0"/>
              <w:spacing w:before="0" w:after="0"/>
              <w:jc w:val="left"/>
              <w:rPr>
                <w:rFonts w:ascii="宋体" w:hAnsi="宋体"/>
                <w:b/>
                <w:color w:val="000000" w:themeColor="text1"/>
                <w:spacing w:val="-20"/>
                <w:szCs w:val="21"/>
                <w:u w:val="single"/>
              </w:rPr>
            </w:pPr>
            <w:r>
              <w:rPr>
                <w:rFonts w:ascii="宋体" w:hAnsi="宋体" w:cs="Times New Roman"/>
                <w:color w:val="000000" w:themeColor="text1"/>
                <w:szCs w:val="21"/>
                <w:lang w:val="en-US" w:eastAsia="zh-CN" w:bidi="ar-SA"/>
              </w:rPr>
              <w:t>文件、记录、培训、内审、法律法规、合规性评价、环境因素、危险源识别及运行控制、应急演练等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pStyle w:val="9"/>
              <w:widowControl w:val="0"/>
              <w:spacing w:before="0" w:after="0"/>
              <w:jc w:val="center"/>
              <w:rPr>
                <w:rFonts w:ascii="宋体" w:hAnsi="宋体"/>
                <w:b/>
                <w:color w:val="000000" w:themeColor="text1"/>
                <w:sz w:val="20"/>
                <w:szCs w:val="20"/>
              </w:rPr>
            </w:pPr>
            <w:r>
              <w:rPr>
                <w:rFonts w:hint="eastAsia" w:ascii="宋体" w:hAnsi="宋体" w:cs="Times New Roman"/>
                <w:b/>
                <w:color w:val="000000" w:themeColor="text1"/>
                <w:sz w:val="20"/>
                <w:szCs w:val="20"/>
                <w:lang w:val="en-US" w:eastAsia="zh-CN" w:bidi="ar-SA"/>
              </w:rPr>
              <w:t>采购</w:t>
            </w:r>
            <w:r>
              <w:rPr>
                <w:rFonts w:ascii="宋体" w:hAnsi="宋体" w:cs="Times New Roman"/>
                <w:b/>
                <w:color w:val="000000" w:themeColor="text1"/>
                <w:sz w:val="20"/>
                <w:szCs w:val="20"/>
                <w:lang w:val="en-US" w:eastAsia="zh-CN" w:bidi="ar-SA"/>
              </w:rPr>
              <w:t>部</w:t>
            </w:r>
          </w:p>
        </w:tc>
        <w:tc>
          <w:tcPr>
            <w:tcW w:w="6804" w:type="dxa"/>
          </w:tcPr>
          <w:p>
            <w:pPr>
              <w:pStyle w:val="9"/>
              <w:widowControl w:val="0"/>
              <w:spacing w:before="0" w:after="0"/>
              <w:jc w:val="left"/>
              <w:rPr>
                <w:rFonts w:ascii="宋体" w:hAnsi="宋体"/>
                <w:b/>
                <w:color w:val="000000" w:themeColor="text1"/>
                <w:spacing w:val="-20"/>
                <w:szCs w:val="21"/>
                <w:u w:val="single"/>
              </w:rPr>
            </w:pPr>
            <w:r>
              <w:rPr>
                <w:rFonts w:ascii="宋体" w:hAnsi="宋体" w:cs="Times New Roman"/>
                <w:color w:val="000000" w:themeColor="text1"/>
                <w:szCs w:val="21"/>
                <w:lang w:val="en-US" w:eastAsia="zh-CN" w:bidi="ar-SA"/>
              </w:rPr>
              <w:t>采购过程、相关方施加影响、环境因素、危险源识别及运行控制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pStyle w:val="9"/>
              <w:widowControl w:val="0"/>
              <w:spacing w:before="0" w:after="0"/>
              <w:jc w:val="center"/>
              <w:rPr>
                <w:rFonts w:hint="eastAsia" w:ascii="宋体" w:hAnsi="宋体" w:cs="Times New Roman"/>
                <w:b/>
                <w:color w:val="000000" w:themeColor="text1"/>
                <w:sz w:val="20"/>
                <w:szCs w:val="20"/>
                <w:lang w:val="en-US" w:eastAsia="zh-CN" w:bidi="ar-SA"/>
              </w:rPr>
            </w:pPr>
          </w:p>
          <w:p>
            <w:pPr>
              <w:pStyle w:val="9"/>
              <w:widowControl w:val="0"/>
              <w:spacing w:before="0" w:after="0"/>
              <w:jc w:val="center"/>
              <w:rPr>
                <w:rFonts w:ascii="宋体" w:hAnsi="宋体" w:cs="Times New Roman"/>
                <w:b/>
                <w:color w:val="000000" w:themeColor="text1"/>
                <w:sz w:val="20"/>
                <w:szCs w:val="20"/>
                <w:lang w:val="en-US" w:eastAsia="zh-CN" w:bidi="ar-SA"/>
              </w:rPr>
            </w:pPr>
            <w:r>
              <w:rPr>
                <w:rFonts w:hint="eastAsia" w:ascii="宋体" w:hAnsi="宋体" w:cs="Times New Roman"/>
                <w:b/>
                <w:color w:val="000000" w:themeColor="text1"/>
                <w:sz w:val="20"/>
                <w:szCs w:val="20"/>
                <w:lang w:val="en-US" w:eastAsia="zh-CN" w:bidi="ar-SA"/>
              </w:rPr>
              <w:t>销售</w:t>
            </w:r>
            <w:r>
              <w:rPr>
                <w:rFonts w:ascii="宋体" w:hAnsi="宋体" w:cs="Times New Roman"/>
                <w:b/>
                <w:color w:val="000000" w:themeColor="text1"/>
                <w:sz w:val="20"/>
                <w:szCs w:val="20"/>
                <w:lang w:val="en-US" w:eastAsia="zh-CN" w:bidi="ar-SA"/>
              </w:rPr>
              <w:t>部</w:t>
            </w:r>
          </w:p>
        </w:tc>
        <w:tc>
          <w:tcPr>
            <w:tcW w:w="6804" w:type="dxa"/>
          </w:tcPr>
          <w:p>
            <w:pPr>
              <w:pStyle w:val="9"/>
              <w:widowControl w:val="0"/>
              <w:spacing w:before="0" w:after="0"/>
              <w:jc w:val="left"/>
              <w:rPr>
                <w:rFonts w:ascii="宋体" w:hAnsi="宋体"/>
                <w:b/>
                <w:color w:val="000000" w:themeColor="text1"/>
                <w:spacing w:val="-20"/>
                <w:szCs w:val="21"/>
                <w:u w:val="single"/>
              </w:rPr>
            </w:pPr>
            <w:r>
              <w:rPr>
                <w:rFonts w:ascii="宋体" w:hAnsi="宋体" w:cs="Times New Roman"/>
                <w:color w:val="000000" w:themeColor="text1"/>
                <w:szCs w:val="21"/>
                <w:lang w:val="en-US" w:eastAsia="zh-CN" w:bidi="ar-SA"/>
              </w:rPr>
              <w:t>销售过程、产品标识与防护、顾客满意度、服务控制、产品和服务放行、不合格品控制、不合格</w:t>
            </w:r>
            <w:r>
              <w:rPr>
                <w:rFonts w:ascii="宋体" w:hAnsi="宋体" w:eastAsia="宋体" w:cs="Times New Roman"/>
                <w:color w:val="000000" w:themeColor="text1"/>
                <w:szCs w:val="21"/>
                <w:lang w:val="en-US" w:eastAsia="zh-CN" w:bidi="ar-SA"/>
              </w:rPr>
              <w:t>/</w:t>
            </w:r>
            <w:r>
              <w:rPr>
                <w:rFonts w:ascii="宋体" w:hAnsi="宋体" w:cs="Times New Roman"/>
                <w:color w:val="000000" w:themeColor="text1"/>
                <w:szCs w:val="21"/>
                <w:lang w:val="en-US" w:eastAsia="zh-CN" w:bidi="ar-SA"/>
              </w:rPr>
              <w:t>事件和纠正措施、环境因素、危险源识别及运行控制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pStyle w:val="9"/>
              <w:widowControl w:val="0"/>
              <w:spacing w:before="0" w:after="0"/>
              <w:rPr>
                <w:rFonts w:ascii="宋体" w:hAnsi="宋体"/>
                <w:b/>
                <w:color w:val="000000" w:themeColor="text1"/>
                <w:szCs w:val="21"/>
              </w:rPr>
            </w:pPr>
          </w:p>
        </w:tc>
        <w:tc>
          <w:tcPr>
            <w:tcW w:w="6804" w:type="dxa"/>
          </w:tcPr>
          <w:p>
            <w:pPr>
              <w:pStyle w:val="9"/>
              <w:widowControl w:val="0"/>
              <w:spacing w:before="0" w:after="0"/>
              <w:rPr>
                <w:rFonts w:ascii="宋体" w:hAnsi="宋体"/>
                <w:b/>
                <w:color w:val="000000" w:themeColor="text1"/>
                <w:spacing w:val="-20"/>
                <w:szCs w:val="21"/>
                <w:u w:val="single"/>
              </w:rPr>
            </w:pPr>
          </w:p>
        </w:tc>
      </w:tr>
    </w:tbl>
    <w:p>
      <w:pPr>
        <w:pStyle w:val="9"/>
        <w:ind w:left="-137" w:hanging="571"/>
        <w:rPr>
          <w:rFonts w:ascii="宋体" w:hAnsi="宋体"/>
          <w:b/>
          <w:color w:val="000000" w:themeColor="text1"/>
          <w:szCs w:val="21"/>
        </w:rPr>
      </w:pPr>
      <w:r>
        <w:rPr>
          <w:b/>
          <w:color w:val="000000" w:themeColor="text1"/>
          <w:szCs w:val="21"/>
        </w:rPr>
        <w:t xml:space="preserve">3. </w:t>
      </w:r>
      <w:r>
        <w:rPr>
          <w:rFonts w:ascii="宋体" w:hAnsi="宋体"/>
          <w:b/>
          <w:color w:val="000000" w:themeColor="text1"/>
          <w:szCs w:val="21"/>
        </w:rPr>
        <w:t>已审核的分场所（分中心、分部或不在一起的部门）、临时/流动场所信息</w:t>
      </w:r>
    </w:p>
    <w:p>
      <w:pPr>
        <w:pStyle w:val="9"/>
        <w:ind w:left="-273" w:hanging="435"/>
        <w:rPr>
          <w:b/>
          <w:color w:val="000000" w:themeColor="text1"/>
          <w:sz w:val="16"/>
          <w:szCs w:val="16"/>
        </w:rPr>
      </w:pPr>
    </w:p>
    <w:tbl>
      <w:tblPr>
        <w:tblStyle w:val="11"/>
        <w:tblW w:w="9923"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3249"/>
        <w:gridCol w:w="3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pStyle w:val="9"/>
              <w:widowControl w:val="0"/>
              <w:spacing w:before="0" w:after="0"/>
              <w:jc w:val="center"/>
              <w:rPr>
                <w:rFonts w:ascii="宋体" w:hAnsi="宋体"/>
                <w:b/>
                <w:color w:val="000000" w:themeColor="text1"/>
                <w:spacing w:val="-2"/>
                <w:sz w:val="20"/>
                <w:szCs w:val="20"/>
              </w:rPr>
            </w:pPr>
            <w:r>
              <w:rPr>
                <w:rFonts w:ascii="宋体" w:hAnsi="宋体" w:cs="Times New Roman"/>
                <w:b/>
                <w:color w:val="000000" w:themeColor="text1"/>
                <w:spacing w:val="-2"/>
                <w:sz w:val="20"/>
                <w:szCs w:val="20"/>
                <w:lang w:val="en-US" w:eastAsia="zh-CN" w:bidi="ar-SA"/>
              </w:rPr>
              <w:t>分场所名称</w:t>
            </w:r>
          </w:p>
        </w:tc>
        <w:tc>
          <w:tcPr>
            <w:tcW w:w="3249" w:type="dxa"/>
          </w:tcPr>
          <w:p>
            <w:pPr>
              <w:pStyle w:val="9"/>
              <w:widowControl w:val="0"/>
              <w:spacing w:before="0" w:after="0"/>
              <w:jc w:val="center"/>
              <w:rPr>
                <w:rFonts w:ascii="宋体" w:hAnsi="宋体"/>
                <w:b/>
                <w:color w:val="000000" w:themeColor="text1"/>
                <w:sz w:val="20"/>
                <w:szCs w:val="20"/>
              </w:rPr>
            </w:pPr>
            <w:r>
              <w:rPr>
                <w:rFonts w:ascii="宋体" w:hAnsi="宋体" w:cs="Times New Roman"/>
                <w:b/>
                <w:color w:val="000000" w:themeColor="text1"/>
                <w:sz w:val="20"/>
                <w:szCs w:val="20"/>
                <w:lang w:val="en-US" w:eastAsia="zh-CN" w:bidi="ar-SA"/>
              </w:rPr>
              <w:t>职能或过程</w:t>
            </w:r>
            <w:r>
              <w:rPr>
                <w:rFonts w:ascii="宋体" w:hAnsi="宋体" w:eastAsia="宋体" w:cs="Times New Roman"/>
                <w:b/>
                <w:color w:val="000000" w:themeColor="text1"/>
                <w:spacing w:val="-2"/>
                <w:sz w:val="20"/>
                <w:szCs w:val="20"/>
                <w:lang w:val="en-US" w:eastAsia="zh-CN" w:bidi="ar-SA"/>
              </w:rPr>
              <w:t>:</w:t>
            </w:r>
          </w:p>
        </w:tc>
        <w:tc>
          <w:tcPr>
            <w:tcW w:w="3556" w:type="dxa"/>
          </w:tcPr>
          <w:p>
            <w:pPr>
              <w:pStyle w:val="9"/>
              <w:widowControl w:val="0"/>
              <w:spacing w:before="0" w:after="0"/>
              <w:jc w:val="center"/>
              <w:rPr>
                <w:rFonts w:ascii="宋体" w:hAnsi="宋体"/>
                <w:b/>
                <w:color w:val="000000" w:themeColor="text1"/>
                <w:sz w:val="20"/>
                <w:szCs w:val="20"/>
              </w:rPr>
            </w:pPr>
            <w:r>
              <w:rPr>
                <w:rFonts w:ascii="宋体" w:hAnsi="宋体" w:cs="Times New Roman"/>
                <w:b/>
                <w:color w:val="000000" w:themeColor="text1"/>
                <w:sz w:val="20"/>
                <w:szCs w:val="20"/>
                <w:lang w:val="en-US" w:eastAsia="zh-CN" w:bidi="ar-SA"/>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pStyle w:val="9"/>
              <w:widowControl w:val="0"/>
              <w:spacing w:before="0" w:after="0"/>
              <w:jc w:val="center"/>
              <w:rPr>
                <w:rFonts w:ascii="宋体" w:hAnsi="宋体"/>
                <w:b/>
                <w:color w:val="000000" w:themeColor="text1"/>
                <w:sz w:val="20"/>
                <w:szCs w:val="20"/>
              </w:rPr>
            </w:pPr>
            <w:r>
              <w:rPr>
                <w:rFonts w:ascii="宋体" w:hAnsi="宋体" w:cs="Times New Roman"/>
                <w:b/>
                <w:color w:val="000000" w:themeColor="text1"/>
                <w:sz w:val="20"/>
                <w:szCs w:val="20"/>
                <w:lang w:val="en-US" w:eastAsia="zh-CN" w:bidi="ar-SA"/>
              </w:rPr>
              <w:t>无</w:t>
            </w:r>
          </w:p>
        </w:tc>
        <w:tc>
          <w:tcPr>
            <w:tcW w:w="3249" w:type="dxa"/>
          </w:tcPr>
          <w:p>
            <w:pPr>
              <w:pStyle w:val="9"/>
              <w:widowControl w:val="0"/>
              <w:spacing w:before="0" w:after="0"/>
              <w:jc w:val="center"/>
              <w:rPr>
                <w:rFonts w:ascii="宋体" w:hAnsi="宋体"/>
                <w:b/>
                <w:color w:val="000000" w:themeColor="text1"/>
                <w:spacing w:val="-20"/>
                <w:sz w:val="20"/>
                <w:szCs w:val="20"/>
                <w:u w:val="single"/>
              </w:rPr>
            </w:pPr>
          </w:p>
        </w:tc>
        <w:tc>
          <w:tcPr>
            <w:tcW w:w="3556" w:type="dxa"/>
          </w:tcPr>
          <w:p>
            <w:pPr>
              <w:pStyle w:val="9"/>
              <w:widowControl w:val="0"/>
              <w:spacing w:before="0" w:after="0"/>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pStyle w:val="9"/>
              <w:widowControl w:val="0"/>
              <w:spacing w:before="0" w:after="0"/>
              <w:jc w:val="center"/>
              <w:rPr>
                <w:rFonts w:ascii="宋体" w:hAnsi="宋体"/>
                <w:b/>
                <w:color w:val="000000" w:themeColor="text1"/>
                <w:sz w:val="20"/>
                <w:szCs w:val="20"/>
              </w:rPr>
            </w:pPr>
          </w:p>
        </w:tc>
        <w:tc>
          <w:tcPr>
            <w:tcW w:w="3249" w:type="dxa"/>
          </w:tcPr>
          <w:p>
            <w:pPr>
              <w:pStyle w:val="9"/>
              <w:widowControl w:val="0"/>
              <w:spacing w:before="0" w:after="0"/>
              <w:jc w:val="center"/>
              <w:rPr>
                <w:rFonts w:ascii="宋体" w:hAnsi="宋体"/>
                <w:b/>
                <w:color w:val="000000" w:themeColor="text1"/>
                <w:spacing w:val="-20"/>
                <w:sz w:val="20"/>
                <w:szCs w:val="20"/>
                <w:u w:val="single"/>
              </w:rPr>
            </w:pPr>
          </w:p>
        </w:tc>
        <w:tc>
          <w:tcPr>
            <w:tcW w:w="3556" w:type="dxa"/>
          </w:tcPr>
          <w:p>
            <w:pPr>
              <w:pStyle w:val="9"/>
              <w:widowControl w:val="0"/>
              <w:spacing w:before="0" w:after="0"/>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pStyle w:val="9"/>
              <w:widowControl w:val="0"/>
              <w:spacing w:before="0" w:after="0"/>
              <w:jc w:val="center"/>
              <w:rPr>
                <w:rFonts w:ascii="宋体" w:hAnsi="宋体"/>
                <w:b/>
                <w:color w:val="000000" w:themeColor="text1"/>
                <w:sz w:val="20"/>
                <w:szCs w:val="20"/>
              </w:rPr>
            </w:pPr>
          </w:p>
        </w:tc>
        <w:tc>
          <w:tcPr>
            <w:tcW w:w="3249" w:type="dxa"/>
          </w:tcPr>
          <w:p>
            <w:pPr>
              <w:pStyle w:val="9"/>
              <w:widowControl w:val="0"/>
              <w:spacing w:before="0" w:after="0"/>
              <w:jc w:val="center"/>
              <w:rPr>
                <w:rFonts w:ascii="宋体" w:hAnsi="宋体"/>
                <w:b/>
                <w:color w:val="000000" w:themeColor="text1"/>
                <w:spacing w:val="-20"/>
                <w:sz w:val="20"/>
                <w:szCs w:val="20"/>
                <w:u w:val="single"/>
              </w:rPr>
            </w:pPr>
          </w:p>
        </w:tc>
        <w:tc>
          <w:tcPr>
            <w:tcW w:w="3556" w:type="dxa"/>
          </w:tcPr>
          <w:p>
            <w:pPr>
              <w:pStyle w:val="9"/>
              <w:widowControl w:val="0"/>
              <w:spacing w:before="0" w:after="0"/>
              <w:jc w:val="center"/>
              <w:rPr>
                <w:rFonts w:ascii="宋体" w:hAnsi="宋体"/>
                <w:b/>
                <w:color w:val="000000" w:themeColor="text1"/>
                <w:spacing w:val="-20"/>
                <w:sz w:val="20"/>
                <w:szCs w:val="20"/>
                <w:u w:val="single"/>
              </w:rPr>
            </w:pPr>
          </w:p>
        </w:tc>
      </w:tr>
    </w:tbl>
    <w:p>
      <w:pPr>
        <w:pStyle w:val="9"/>
        <w:ind w:left="-169" w:hanging="539"/>
        <w:rPr>
          <w:b/>
          <w:color w:val="000000" w:themeColor="text1"/>
          <w:spacing w:val="-6"/>
          <w:szCs w:val="21"/>
        </w:rPr>
      </w:pPr>
      <w:r>
        <w:rPr>
          <w:b/>
          <w:color w:val="000000" w:themeColor="text1"/>
          <w:spacing w:val="-6"/>
          <w:szCs w:val="21"/>
        </w:rPr>
        <w:t>4. 已审核具体的产品/服务/型号/类型/系列和过程（设计/生产┄┄）是</w:t>
      </w:r>
    </w:p>
    <w:p>
      <w:pPr>
        <w:pStyle w:val="9"/>
        <w:ind w:left="-169" w:hanging="539"/>
        <w:rPr>
          <w:b/>
          <w:color w:val="000000" w:themeColor="text1"/>
          <w:spacing w:val="-6"/>
          <w:szCs w:val="21"/>
        </w:rPr>
      </w:pPr>
    </w:p>
    <w:p>
      <w:pPr>
        <w:pStyle w:val="9"/>
        <w:ind w:left="-137" w:hanging="571"/>
        <w:rPr>
          <w:b/>
          <w:color w:val="000000" w:themeColor="text1"/>
          <w:szCs w:val="21"/>
          <w:u w:val="single"/>
        </w:rPr>
      </w:pP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2"/>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9"/>
              <w:widowControl w:val="0"/>
              <w:spacing w:before="0" w:after="0"/>
              <w:rPr>
                <w:b/>
                <w:color w:val="000000" w:themeColor="text1"/>
                <w:sz w:val="20"/>
                <w:szCs w:val="20"/>
              </w:rPr>
            </w:pPr>
            <w:r>
              <w:rPr>
                <w:rFonts w:cs="Times New Roman"/>
                <w:b/>
                <w:color w:val="000000" w:themeColor="text1"/>
                <w:sz w:val="20"/>
                <w:szCs w:val="20"/>
                <w:lang w:val="en-US" w:eastAsia="zh-CN" w:bidi="ar-SA"/>
              </w:rPr>
              <w:t>产品名称</w:t>
            </w:r>
            <w:r>
              <w:rPr>
                <w:rFonts w:eastAsia="宋体" w:cs="Times New Roman"/>
                <w:b/>
                <w:color w:val="000000" w:themeColor="text1"/>
                <w:sz w:val="20"/>
                <w:szCs w:val="20"/>
                <w:lang w:val="en-US" w:eastAsia="zh-CN" w:bidi="ar-SA"/>
              </w:rPr>
              <w:t>/</w:t>
            </w:r>
          </w:p>
          <w:p>
            <w:pPr>
              <w:pStyle w:val="9"/>
              <w:widowControl w:val="0"/>
              <w:spacing w:before="0" w:after="0"/>
              <w:rPr>
                <w:b/>
                <w:color w:val="000000" w:themeColor="text1"/>
                <w:sz w:val="20"/>
                <w:szCs w:val="20"/>
              </w:rPr>
            </w:pPr>
            <w:r>
              <w:rPr>
                <w:rFonts w:cs="Times New Roman"/>
                <w:b/>
                <w:color w:val="000000" w:themeColor="text1"/>
                <w:sz w:val="20"/>
                <w:szCs w:val="20"/>
                <w:lang w:val="en-US" w:eastAsia="zh-CN" w:bidi="ar-SA"/>
              </w:rPr>
              <w:t>服务名称</w:t>
            </w:r>
          </w:p>
        </w:tc>
        <w:tc>
          <w:tcPr>
            <w:tcW w:w="2519" w:type="dxa"/>
          </w:tcPr>
          <w:p>
            <w:pPr>
              <w:pStyle w:val="9"/>
              <w:widowControl w:val="0"/>
              <w:spacing w:before="0" w:after="0"/>
              <w:rPr>
                <w:b/>
                <w:color w:val="000000" w:themeColor="text1"/>
                <w:sz w:val="20"/>
                <w:szCs w:val="20"/>
              </w:rPr>
            </w:pPr>
            <w:r>
              <w:rPr>
                <w:rFonts w:cs="Times New Roman"/>
                <w:b/>
                <w:color w:val="000000" w:themeColor="text1"/>
                <w:sz w:val="20"/>
                <w:szCs w:val="20"/>
                <w:lang w:val="en-US" w:eastAsia="zh-CN" w:bidi="ar-SA"/>
              </w:rPr>
              <w:t>型号</w:t>
            </w:r>
            <w:r>
              <w:rPr>
                <w:rFonts w:eastAsia="宋体" w:cs="Times New Roman"/>
                <w:b/>
                <w:color w:val="000000" w:themeColor="text1"/>
                <w:sz w:val="20"/>
                <w:szCs w:val="20"/>
                <w:lang w:val="en-US" w:eastAsia="zh-CN" w:bidi="ar-SA"/>
              </w:rPr>
              <w:t>/</w:t>
            </w:r>
          </w:p>
          <w:p>
            <w:pPr>
              <w:pStyle w:val="9"/>
              <w:widowControl w:val="0"/>
              <w:spacing w:before="0" w:after="0"/>
              <w:rPr>
                <w:b/>
                <w:color w:val="000000" w:themeColor="text1"/>
                <w:sz w:val="20"/>
                <w:szCs w:val="20"/>
              </w:rPr>
            </w:pPr>
            <w:r>
              <w:rPr>
                <w:rFonts w:cs="Times New Roman"/>
                <w:b/>
                <w:color w:val="000000" w:themeColor="text1"/>
                <w:sz w:val="20"/>
                <w:szCs w:val="20"/>
                <w:lang w:val="en-US" w:eastAsia="zh-CN" w:bidi="ar-SA"/>
              </w:rPr>
              <w:t>服务类型</w:t>
            </w:r>
          </w:p>
        </w:tc>
        <w:tc>
          <w:tcPr>
            <w:tcW w:w="1842" w:type="dxa"/>
          </w:tcPr>
          <w:p>
            <w:pPr>
              <w:pStyle w:val="9"/>
              <w:widowControl w:val="0"/>
              <w:spacing w:before="0" w:after="0"/>
              <w:rPr>
                <w:b/>
                <w:color w:val="000000" w:themeColor="text1"/>
                <w:sz w:val="20"/>
                <w:szCs w:val="20"/>
              </w:rPr>
            </w:pPr>
            <w:r>
              <w:rPr>
                <w:rFonts w:cs="Times New Roman"/>
                <w:b/>
                <w:color w:val="000000" w:themeColor="text1"/>
                <w:sz w:val="20"/>
                <w:szCs w:val="20"/>
                <w:lang w:val="en-US" w:eastAsia="zh-CN" w:bidi="ar-SA"/>
              </w:rPr>
              <w:t>规格</w:t>
            </w:r>
          </w:p>
        </w:tc>
        <w:tc>
          <w:tcPr>
            <w:tcW w:w="3543" w:type="dxa"/>
          </w:tcPr>
          <w:p>
            <w:pPr>
              <w:pStyle w:val="9"/>
              <w:widowControl w:val="0"/>
              <w:spacing w:before="0" w:after="0"/>
              <w:rPr>
                <w:b/>
                <w:color w:val="000000" w:themeColor="text1"/>
                <w:sz w:val="20"/>
                <w:szCs w:val="20"/>
              </w:rPr>
            </w:pPr>
            <w:r>
              <w:rPr>
                <w:rFonts w:cs="Times New Roman"/>
                <w:b/>
                <w:color w:val="000000" w:themeColor="text1"/>
                <w:sz w:val="20"/>
                <w:szCs w:val="20"/>
                <w:lang w:val="en-US" w:eastAsia="zh-CN" w:bidi="ar-S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9"/>
              <w:widowControl w:val="0"/>
              <w:spacing w:before="0" w:after="0"/>
              <w:rPr>
                <w:rFonts w:hint="default" w:eastAsia="宋体"/>
                <w:b/>
                <w:color w:val="000000" w:themeColor="text1"/>
                <w:sz w:val="20"/>
                <w:szCs w:val="20"/>
                <w:lang w:val="en-US" w:eastAsia="zh-CN"/>
              </w:rPr>
            </w:pPr>
            <w:r>
              <w:rPr>
                <w:rFonts w:hint="eastAsia"/>
                <w:b/>
                <w:color w:val="000000" w:themeColor="text1"/>
                <w:sz w:val="20"/>
                <w:szCs w:val="20"/>
                <w:lang w:val="en-US" w:eastAsia="zh-CN"/>
              </w:rPr>
              <w:t>钢质防火门、防盗门的销售</w:t>
            </w:r>
          </w:p>
        </w:tc>
        <w:tc>
          <w:tcPr>
            <w:tcW w:w="2519" w:type="dxa"/>
          </w:tcPr>
          <w:p>
            <w:pPr>
              <w:pStyle w:val="9"/>
              <w:widowControl w:val="0"/>
              <w:spacing w:before="0" w:after="0"/>
              <w:rPr>
                <w:rFonts w:hint="eastAsia" w:eastAsia="宋体"/>
                <w:b/>
                <w:color w:val="000000" w:themeColor="text1"/>
                <w:sz w:val="20"/>
                <w:szCs w:val="20"/>
                <w:lang w:val="en-US" w:eastAsia="zh-CN"/>
              </w:rPr>
            </w:pPr>
            <w:r>
              <w:rPr>
                <w:rFonts w:eastAsia="宋体" w:cs="Times New Roman"/>
                <w:b/>
                <w:color w:val="000000" w:themeColor="text1"/>
                <w:sz w:val="20"/>
                <w:szCs w:val="20"/>
                <w:lang w:val="en-US" w:eastAsia="zh-CN" w:bidi="ar-SA"/>
              </w:rPr>
              <w:t>/</w:t>
            </w:r>
          </w:p>
        </w:tc>
        <w:tc>
          <w:tcPr>
            <w:tcW w:w="1842" w:type="dxa"/>
          </w:tcPr>
          <w:p>
            <w:pPr>
              <w:pStyle w:val="9"/>
              <w:widowControl w:val="0"/>
              <w:spacing w:before="0" w:after="0"/>
              <w:rPr>
                <w:rFonts w:hint="default" w:eastAsia="宋体"/>
                <w:b/>
                <w:color w:val="000000" w:themeColor="text1"/>
                <w:sz w:val="20"/>
                <w:szCs w:val="20"/>
                <w:lang w:val="en-US" w:eastAsia="zh-CN"/>
              </w:rPr>
            </w:pPr>
            <w:r>
              <w:rPr>
                <w:rFonts w:hint="eastAsia"/>
                <w:b/>
                <w:color w:val="000000" w:themeColor="text1"/>
                <w:sz w:val="20"/>
                <w:szCs w:val="20"/>
                <w:lang w:val="en-US" w:eastAsia="zh-CN"/>
              </w:rPr>
              <w:t>甲级、乙级</w:t>
            </w:r>
          </w:p>
        </w:tc>
        <w:tc>
          <w:tcPr>
            <w:tcW w:w="3543" w:type="dxa"/>
          </w:tcPr>
          <w:p>
            <w:pPr>
              <w:snapToGrid w:val="0"/>
              <w:spacing w:line="280" w:lineRule="exact"/>
              <w:jc w:val="left"/>
              <w:rPr>
                <w:color w:val="auto"/>
                <w:sz w:val="20"/>
              </w:rPr>
            </w:pPr>
            <w:r>
              <w:rPr>
                <w:rFonts w:hint="eastAsia"/>
                <w:color w:val="auto"/>
                <w:sz w:val="20"/>
                <w:lang w:val="en-US" w:eastAsia="zh-CN"/>
              </w:rPr>
              <w:t>钢质</w:t>
            </w:r>
            <w:r>
              <w:rPr>
                <w:rFonts w:hint="eastAsia"/>
                <w:color w:val="auto"/>
                <w:sz w:val="20"/>
              </w:rPr>
              <w:t>防火门：GB12955-2008</w:t>
            </w:r>
          </w:p>
          <w:p>
            <w:pPr>
              <w:pStyle w:val="9"/>
              <w:widowControl w:val="0"/>
              <w:spacing w:before="0" w:after="0"/>
              <w:rPr>
                <w:b/>
                <w:color w:val="000000" w:themeColor="text1"/>
                <w:sz w:val="20"/>
                <w:szCs w:val="20"/>
              </w:rPr>
            </w:pPr>
            <w:r>
              <w:rPr>
                <w:rFonts w:hint="eastAsia" w:ascii="宋体" w:hAnsi="宋体"/>
                <w:color w:val="auto"/>
                <w:spacing w:val="-10"/>
                <w:sz w:val="20"/>
                <w:szCs w:val="20"/>
                <w:lang w:val="en-US" w:eastAsia="zh-CN"/>
              </w:rPr>
              <w:t>防盗安全门通用技术条件</w:t>
            </w:r>
            <w:r>
              <w:rPr>
                <w:rFonts w:hint="eastAsia" w:ascii="宋体" w:hAnsi="宋体"/>
                <w:color w:val="auto"/>
                <w:spacing w:val="-10"/>
                <w:sz w:val="20"/>
                <w:szCs w:val="20"/>
              </w:rPr>
              <w:t xml:space="preserve"> </w:t>
            </w:r>
            <w:r>
              <w:rPr>
                <w:rFonts w:hint="eastAsia" w:ascii="宋体" w:hAnsi="宋体"/>
                <w:color w:val="auto"/>
                <w:spacing w:val="-10"/>
                <w:sz w:val="20"/>
                <w:szCs w:val="20"/>
                <w:lang w:val="en-US" w:eastAsia="zh-CN"/>
              </w:rPr>
              <w:t>GB17565-2007</w:t>
            </w:r>
            <w:r>
              <w:rPr>
                <w:rFonts w:hint="eastAsia" w:ascii="宋体" w:hAnsi="宋体"/>
                <w:color w:val="auto"/>
                <w:spacing w:val="-1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9"/>
              <w:widowControl w:val="0"/>
              <w:spacing w:before="0" w:after="0"/>
              <w:rPr>
                <w:b/>
                <w:color w:val="000000" w:themeColor="text1"/>
                <w:sz w:val="20"/>
                <w:szCs w:val="20"/>
              </w:rPr>
            </w:pPr>
          </w:p>
        </w:tc>
        <w:tc>
          <w:tcPr>
            <w:tcW w:w="2519" w:type="dxa"/>
          </w:tcPr>
          <w:p>
            <w:pPr>
              <w:pStyle w:val="9"/>
              <w:widowControl w:val="0"/>
              <w:spacing w:before="0" w:after="0"/>
              <w:rPr>
                <w:b/>
                <w:color w:val="000000" w:themeColor="text1"/>
                <w:sz w:val="20"/>
                <w:szCs w:val="20"/>
              </w:rPr>
            </w:pPr>
          </w:p>
        </w:tc>
        <w:tc>
          <w:tcPr>
            <w:tcW w:w="1842" w:type="dxa"/>
          </w:tcPr>
          <w:p>
            <w:pPr>
              <w:pStyle w:val="9"/>
              <w:widowControl w:val="0"/>
              <w:spacing w:before="0" w:after="0"/>
              <w:rPr>
                <w:b/>
                <w:color w:val="000000" w:themeColor="text1"/>
                <w:sz w:val="20"/>
                <w:szCs w:val="20"/>
              </w:rPr>
            </w:pPr>
          </w:p>
        </w:tc>
        <w:tc>
          <w:tcPr>
            <w:tcW w:w="3543" w:type="dxa"/>
          </w:tcPr>
          <w:p>
            <w:pPr>
              <w:pStyle w:val="9"/>
              <w:widowControl w:val="0"/>
              <w:spacing w:before="0" w:after="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9"/>
              <w:widowControl w:val="0"/>
              <w:spacing w:before="0" w:after="0"/>
              <w:rPr>
                <w:b/>
                <w:color w:val="000000" w:themeColor="text1"/>
                <w:sz w:val="20"/>
                <w:szCs w:val="20"/>
              </w:rPr>
            </w:pPr>
          </w:p>
        </w:tc>
        <w:tc>
          <w:tcPr>
            <w:tcW w:w="2519" w:type="dxa"/>
          </w:tcPr>
          <w:p>
            <w:pPr>
              <w:pStyle w:val="9"/>
              <w:widowControl w:val="0"/>
              <w:spacing w:before="0" w:after="0"/>
              <w:rPr>
                <w:b/>
                <w:color w:val="000000" w:themeColor="text1"/>
                <w:sz w:val="20"/>
                <w:szCs w:val="20"/>
              </w:rPr>
            </w:pPr>
          </w:p>
        </w:tc>
        <w:tc>
          <w:tcPr>
            <w:tcW w:w="1842" w:type="dxa"/>
          </w:tcPr>
          <w:p>
            <w:pPr>
              <w:pStyle w:val="9"/>
              <w:widowControl w:val="0"/>
              <w:spacing w:before="0" w:after="0"/>
              <w:rPr>
                <w:b/>
                <w:color w:val="000000" w:themeColor="text1"/>
                <w:sz w:val="20"/>
                <w:szCs w:val="20"/>
              </w:rPr>
            </w:pPr>
          </w:p>
        </w:tc>
        <w:tc>
          <w:tcPr>
            <w:tcW w:w="3543" w:type="dxa"/>
          </w:tcPr>
          <w:p>
            <w:pPr>
              <w:pStyle w:val="9"/>
              <w:widowControl w:val="0"/>
              <w:spacing w:before="0" w:after="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9"/>
              <w:widowControl w:val="0"/>
              <w:spacing w:before="0" w:after="0"/>
              <w:rPr>
                <w:b/>
                <w:color w:val="000000" w:themeColor="text1"/>
                <w:sz w:val="20"/>
                <w:szCs w:val="20"/>
              </w:rPr>
            </w:pPr>
          </w:p>
        </w:tc>
        <w:tc>
          <w:tcPr>
            <w:tcW w:w="2519" w:type="dxa"/>
          </w:tcPr>
          <w:p>
            <w:pPr>
              <w:pStyle w:val="9"/>
              <w:widowControl w:val="0"/>
              <w:spacing w:before="0" w:after="0"/>
              <w:rPr>
                <w:b/>
                <w:color w:val="000000" w:themeColor="text1"/>
                <w:sz w:val="20"/>
                <w:szCs w:val="20"/>
              </w:rPr>
            </w:pPr>
          </w:p>
        </w:tc>
        <w:tc>
          <w:tcPr>
            <w:tcW w:w="1842" w:type="dxa"/>
          </w:tcPr>
          <w:p>
            <w:pPr>
              <w:pStyle w:val="9"/>
              <w:widowControl w:val="0"/>
              <w:spacing w:before="0" w:after="0"/>
              <w:rPr>
                <w:b/>
                <w:color w:val="000000" w:themeColor="text1"/>
                <w:sz w:val="20"/>
                <w:szCs w:val="20"/>
              </w:rPr>
            </w:pPr>
          </w:p>
        </w:tc>
        <w:tc>
          <w:tcPr>
            <w:tcW w:w="3543" w:type="dxa"/>
          </w:tcPr>
          <w:p>
            <w:pPr>
              <w:pStyle w:val="9"/>
              <w:widowControl w:val="0"/>
              <w:spacing w:before="0" w:after="0"/>
              <w:rPr>
                <w:b/>
                <w:color w:val="000000" w:themeColor="text1"/>
                <w:sz w:val="20"/>
                <w:szCs w:val="20"/>
              </w:rPr>
            </w:pPr>
          </w:p>
        </w:tc>
      </w:tr>
    </w:tbl>
    <w:p>
      <w:pPr>
        <w:pStyle w:val="9"/>
        <w:spacing w:line="360" w:lineRule="auto"/>
        <w:ind w:left="-137" w:hanging="571"/>
        <w:rPr>
          <w:b/>
          <w:color w:val="000000" w:themeColor="text1"/>
          <w:szCs w:val="21"/>
        </w:rPr>
      </w:pPr>
      <w:r>
        <w:rPr>
          <w:b/>
          <w:color w:val="000000" w:themeColor="text1"/>
          <w:szCs w:val="21"/>
        </w:rPr>
        <w:t>5. 本次审核覆盖时期：</w:t>
      </w:r>
    </w:p>
    <w:p>
      <w:pPr>
        <w:pStyle w:val="9"/>
        <w:spacing w:line="360" w:lineRule="auto"/>
        <w:ind w:left="-191" w:hanging="517"/>
        <w:rPr>
          <w:b/>
          <w:color w:val="000000" w:themeColor="text1"/>
          <w:spacing w:val="-10"/>
          <w:szCs w:val="21"/>
        </w:rPr>
      </w:pPr>
      <w:r>
        <w:rPr>
          <w:rFonts w:ascii="MS Mincho" w:hAnsi="MS Mincho" w:eastAsia="MS Mincho" w:cs="MS Mincho"/>
          <w:b/>
          <w:color w:val="000000" w:themeColor="text1"/>
          <w:spacing w:val="-10"/>
          <w:szCs w:val="21"/>
        </w:rPr>
        <w:t>☑</w:t>
      </w:r>
      <w:r>
        <w:rPr>
          <w:b/>
          <w:color w:val="000000" w:themeColor="text1"/>
          <w:spacing w:val="-10"/>
          <w:szCs w:val="21"/>
        </w:rPr>
        <w:t>体系运行时间</w:t>
      </w:r>
      <w:r>
        <w:rPr>
          <w:b/>
          <w:color w:val="000000" w:themeColor="text1"/>
          <w:spacing w:val="-10"/>
          <w:szCs w:val="21"/>
          <w:u w:val="single"/>
        </w:rPr>
        <w:t xml:space="preserve">   202</w:t>
      </w:r>
      <w:r>
        <w:rPr>
          <w:rFonts w:hint="eastAsia"/>
          <w:b/>
          <w:color w:val="000000" w:themeColor="text1"/>
          <w:spacing w:val="-10"/>
          <w:szCs w:val="21"/>
          <w:u w:val="single"/>
          <w:lang w:val="en-US" w:eastAsia="zh-CN"/>
        </w:rPr>
        <w:t>1</w:t>
      </w:r>
      <w:r>
        <w:rPr>
          <w:b/>
          <w:color w:val="000000" w:themeColor="text1"/>
          <w:spacing w:val="-10"/>
          <w:szCs w:val="21"/>
          <w:u w:val="single"/>
        </w:rPr>
        <w:t xml:space="preserve">  </w:t>
      </w:r>
      <w:r>
        <w:rPr>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lang w:val="en-US" w:eastAsia="zh-CN"/>
        </w:rPr>
        <w:t>2</w:t>
      </w:r>
      <w:r>
        <w:rPr>
          <w:b/>
          <w:color w:val="000000" w:themeColor="text1"/>
          <w:spacing w:val="-10"/>
          <w:szCs w:val="21"/>
          <w:u w:val="single"/>
        </w:rPr>
        <w:t xml:space="preserve">  </w:t>
      </w:r>
      <w:r>
        <w:rPr>
          <w:b/>
          <w:color w:val="000000" w:themeColor="text1"/>
          <w:spacing w:val="-10"/>
          <w:szCs w:val="21"/>
        </w:rPr>
        <w:t>月</w:t>
      </w:r>
      <w:bookmarkStart w:id="20" w:name="OLE_LINK1"/>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u w:val="single"/>
          <w:lang w:val="en-US" w:eastAsia="zh-CN"/>
        </w:rPr>
        <w:t>1</w:t>
      </w:r>
      <w:r>
        <w:rPr>
          <w:b/>
          <w:color w:val="000000" w:themeColor="text1"/>
          <w:spacing w:val="-10"/>
          <w:szCs w:val="21"/>
          <w:u w:val="single"/>
        </w:rPr>
        <w:t xml:space="preserve">  </w:t>
      </w:r>
      <w:r>
        <w:rPr>
          <w:b/>
          <w:color w:val="000000" w:themeColor="text1"/>
          <w:spacing w:val="-10"/>
          <w:szCs w:val="21"/>
        </w:rPr>
        <w:t>日</w:t>
      </w:r>
      <w:bookmarkEnd w:id="20"/>
      <w:r>
        <w:rPr>
          <w:b/>
          <w:color w:val="000000" w:themeColor="text1"/>
          <w:spacing w:val="-10"/>
          <w:szCs w:val="21"/>
        </w:rPr>
        <w:t>至</w:t>
      </w:r>
      <w:r>
        <w:rPr>
          <w:b/>
          <w:color w:val="000000" w:themeColor="text1"/>
          <w:spacing w:val="-10"/>
          <w:szCs w:val="21"/>
          <w:u w:val="single"/>
        </w:rPr>
        <w:t xml:space="preserve">  2021   </w:t>
      </w:r>
      <w:r>
        <w:rPr>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lang w:val="en-US" w:eastAsia="zh-CN"/>
        </w:rPr>
        <w:t>8</w:t>
      </w:r>
      <w:r>
        <w:rPr>
          <w:b/>
          <w:color w:val="000000" w:themeColor="text1"/>
          <w:spacing w:val="-10"/>
          <w:szCs w:val="21"/>
          <w:u w:val="single"/>
        </w:rPr>
        <w:t xml:space="preserve">  </w:t>
      </w:r>
      <w:r>
        <w:rPr>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lang w:val="en-US" w:eastAsia="zh-CN"/>
        </w:rPr>
        <w:t>1</w:t>
      </w:r>
      <w:r>
        <w:rPr>
          <w:b/>
          <w:color w:val="000000" w:themeColor="text1"/>
          <w:spacing w:val="-10"/>
          <w:szCs w:val="21"/>
          <w:u w:val="single"/>
        </w:rPr>
        <w:t xml:space="preserve">  </w:t>
      </w:r>
      <w:r>
        <w:rPr>
          <w:b/>
          <w:color w:val="000000" w:themeColor="text1"/>
          <w:spacing w:val="-10"/>
          <w:szCs w:val="21"/>
        </w:rPr>
        <w:t>日。</w:t>
      </w:r>
    </w:p>
    <w:p>
      <w:pPr>
        <w:pStyle w:val="9"/>
        <w:spacing w:line="360" w:lineRule="auto"/>
        <w:ind w:left="-191" w:hanging="517"/>
        <w:rPr>
          <w:b/>
          <w:color w:val="000000" w:themeColor="text1"/>
          <w:spacing w:val="-10"/>
          <w:szCs w:val="21"/>
          <w:u w:val="single"/>
        </w:rPr>
      </w:pPr>
      <w:r>
        <w:rPr>
          <w:b/>
          <w:color w:val="000000" w:themeColor="text1"/>
          <w:spacing w:val="-10"/>
          <w:szCs w:val="21"/>
        </w:rPr>
        <w:t>□上次审核时间年月日至年月日（再认证填写）</w:t>
      </w:r>
    </w:p>
    <w:p>
      <w:pPr>
        <w:pStyle w:val="9"/>
        <w:spacing w:line="360" w:lineRule="auto"/>
        <w:ind w:left="-191" w:hanging="517"/>
        <w:rPr>
          <w:b/>
          <w:color w:val="000000" w:themeColor="text1"/>
          <w:spacing w:val="-10"/>
          <w:szCs w:val="21"/>
        </w:rPr>
      </w:pPr>
      <w:r>
        <w:rPr>
          <w:b/>
          <w:color w:val="000000" w:themeColor="text1"/>
          <w:spacing w:val="-10"/>
          <w:szCs w:val="21"/>
        </w:rPr>
        <w:t>6. 完成情况说明:</w:t>
      </w:r>
    </w:p>
    <w:p>
      <w:pPr>
        <w:pStyle w:val="9"/>
        <w:spacing w:line="360" w:lineRule="auto"/>
        <w:ind w:left="-191" w:hanging="517"/>
        <w:rPr>
          <w:b/>
          <w:color w:val="000000" w:themeColor="text1"/>
          <w:spacing w:val="-10"/>
          <w:szCs w:val="21"/>
        </w:rPr>
      </w:pPr>
      <w:r>
        <w:rPr>
          <w:rFonts w:ascii="MS Mincho" w:hAnsi="MS Mincho" w:eastAsia="MS Mincho" w:cs="MS Mincho"/>
          <w:b/>
          <w:color w:val="000000" w:themeColor="text1"/>
          <w:spacing w:val="-10"/>
          <w:szCs w:val="21"/>
        </w:rPr>
        <w:t>☑</w:t>
      </w:r>
      <w:r>
        <w:rPr>
          <w:rFonts w:ascii="宋体" w:hAnsi="宋体"/>
          <w:b/>
          <w:color w:val="000000" w:themeColor="text1"/>
          <w:szCs w:val="21"/>
        </w:rPr>
        <w:t>已完成审核计划的全部工作</w:t>
      </w:r>
    </w:p>
    <w:p>
      <w:pPr>
        <w:pStyle w:val="9"/>
        <w:spacing w:line="360" w:lineRule="auto"/>
        <w:ind w:left="-191" w:hanging="517"/>
        <w:rPr>
          <w:b/>
          <w:color w:val="000000" w:themeColor="text1"/>
          <w:spacing w:val="-10"/>
          <w:w w:val="90"/>
          <w:szCs w:val="21"/>
        </w:rPr>
      </w:pPr>
      <w:r>
        <w:rPr>
          <w:b/>
          <w:color w:val="000000" w:themeColor="text1"/>
          <w:spacing w:val="-10"/>
          <w:szCs w:val="21"/>
        </w:rPr>
        <w:t>□</w:t>
      </w:r>
      <w:r>
        <w:rPr>
          <w:rFonts w:ascii="宋体" w:hAnsi="宋体"/>
          <w:b/>
          <w:color w:val="000000" w:themeColor="text1"/>
          <w:szCs w:val="21"/>
        </w:rPr>
        <w:t>计划有修改，但不会影响审核结论，修改的内容和原因是</w:t>
      </w:r>
    </w:p>
    <w:p>
      <w:pPr>
        <w:pStyle w:val="9"/>
        <w:spacing w:line="360" w:lineRule="auto"/>
        <w:ind w:left="-191" w:hanging="517"/>
        <w:rPr>
          <w:b/>
          <w:color w:val="000000" w:themeColor="text1"/>
          <w:spacing w:val="-10"/>
          <w:szCs w:val="21"/>
        </w:rPr>
      </w:pPr>
      <w:r>
        <w:rPr>
          <w:b/>
          <w:color w:val="000000" w:themeColor="text1"/>
          <w:spacing w:val="-10"/>
          <w:szCs w:val="21"/>
        </w:rPr>
        <w:t>□</w:t>
      </w:r>
      <w:r>
        <w:rPr>
          <w:rFonts w:ascii="宋体" w:hAnsi="宋体"/>
          <w:b/>
          <w:color w:val="000000" w:themeColor="text1"/>
          <w:szCs w:val="21"/>
        </w:rPr>
        <w:t>未完成计划，未完成的内容和原因是:</w:t>
      </w:r>
    </w:p>
    <w:p>
      <w:pPr>
        <w:pStyle w:val="9"/>
        <w:spacing w:before="312" w:after="0" w:line="320" w:lineRule="exact"/>
        <w:ind w:left="-1" w:hanging="707"/>
        <w:rPr>
          <w:b/>
          <w:color w:val="000000" w:themeColor="text1"/>
          <w:sz w:val="16"/>
          <w:szCs w:val="16"/>
        </w:rPr>
      </w:pPr>
      <w:r>
        <w:rPr>
          <w:rFonts w:ascii="宋体" w:hAnsi="宋体"/>
          <w:b/>
          <w:color w:val="000000" w:themeColor="text1"/>
          <w:sz w:val="26"/>
          <w:szCs w:val="26"/>
        </w:rPr>
        <w:t>六、审核发现及审核证据说明</w:t>
      </w:r>
    </w:p>
    <w:tbl>
      <w:tblPr>
        <w:tblStyle w:val="10"/>
        <w:tblW w:w="9918" w:type="dxa"/>
        <w:jc w:val="center"/>
        <w:tblLayout w:type="fixed"/>
        <w:tblCellMar>
          <w:top w:w="0" w:type="dxa"/>
          <w:left w:w="108" w:type="dxa"/>
          <w:bottom w:w="0" w:type="dxa"/>
          <w:right w:w="108" w:type="dxa"/>
        </w:tblCellMar>
      </w:tblPr>
      <w:tblGrid>
        <w:gridCol w:w="720"/>
        <w:gridCol w:w="9197"/>
      </w:tblGrid>
      <w:tr>
        <w:tblPrEx>
          <w:tblCellMar>
            <w:top w:w="0" w:type="dxa"/>
            <w:left w:w="108" w:type="dxa"/>
            <w:bottom w:w="0" w:type="dxa"/>
            <w:right w:w="108" w:type="dxa"/>
          </w:tblCellMar>
        </w:tblPrEx>
        <w:trPr>
          <w:cantSplit/>
          <w:trHeight w:val="98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extDirection w:val="tbRl"/>
            <w:vAlign w:val="center"/>
          </w:tcPr>
          <w:p>
            <w:pPr>
              <w:pStyle w:val="9"/>
              <w:widowControl w:val="0"/>
              <w:spacing w:line="240" w:lineRule="exact"/>
              <w:ind w:left="201" w:right="113" w:hanging="201"/>
              <w:jc w:val="center"/>
              <w:rPr>
                <w:rFonts w:ascii="宋体" w:hAnsi="宋体"/>
                <w:b/>
                <w:color w:val="000000" w:themeColor="text1"/>
                <w:sz w:val="20"/>
                <w:szCs w:val="20"/>
              </w:rPr>
            </w:pPr>
            <w:r>
              <w:rPr>
                <w:rFonts w:ascii="宋体" w:hAnsi="宋体"/>
                <w:b/>
                <w:color w:val="000000" w:themeColor="text1"/>
                <w:sz w:val="20"/>
                <w:szCs w:val="20"/>
              </w:rPr>
              <w:t>(一)策划的充分与合理性</w:t>
            </w: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b/>
                <w:color w:val="000000" w:themeColor="text1"/>
                <w:sz w:val="20"/>
                <w:szCs w:val="20"/>
              </w:rPr>
            </w:pPr>
            <w:r>
              <w:rPr>
                <w:b/>
                <w:color w:val="000000" w:themeColor="text1"/>
                <w:sz w:val="20"/>
                <w:szCs w:val="20"/>
              </w:rPr>
              <w:t>1、组织及其环境的识别情况</w:t>
            </w:r>
          </w:p>
          <w:p>
            <w:pPr>
              <w:pStyle w:val="9"/>
              <w:widowControl w:val="0"/>
              <w:spacing w:line="240" w:lineRule="exact"/>
              <w:rPr>
                <w:rFonts w:ascii="宋体" w:hAnsi="宋体" w:cs="宋体"/>
                <w:color w:val="000000" w:themeColor="text1"/>
                <w:szCs w:val="21"/>
              </w:rPr>
            </w:pPr>
            <w:r>
              <w:rPr>
                <w:rFonts w:ascii="宋体" w:hAnsi="宋体" w:cs="宋体"/>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各分管部门进行落实。</w:t>
            </w:r>
          </w:p>
          <w:p>
            <w:pPr>
              <w:pStyle w:val="9"/>
              <w:widowControl w:val="0"/>
              <w:spacing w:line="240" w:lineRule="exact"/>
              <w:rPr>
                <w:b/>
                <w:color w:val="000000" w:themeColor="text1"/>
                <w:sz w:val="20"/>
                <w:szCs w:val="20"/>
              </w:rPr>
            </w:pPr>
            <w:r>
              <w:rPr>
                <w:rFonts w:ascii="宋体" w:hAnsi="宋体" w:cs="宋体"/>
                <w:color w:val="000000" w:themeColor="text1"/>
                <w:szCs w:val="21"/>
              </w:rPr>
              <w:t>企业按照标准和客户要求进行</w:t>
            </w:r>
            <w:r>
              <w:rPr>
                <w:rFonts w:hint="eastAsia" w:ascii="宋体" w:hAnsi="宋体" w:cs="宋体"/>
                <w:color w:val="000000" w:themeColor="text1"/>
                <w:szCs w:val="21"/>
                <w:lang w:val="en-US" w:eastAsia="zh-CN"/>
              </w:rPr>
              <w:t>钢质防火门、防盗门的销售</w:t>
            </w:r>
            <w:r>
              <w:rPr>
                <w:rFonts w:ascii="宋体" w:hAnsi="宋体" w:cs="宋体"/>
                <w:color w:val="000000" w:themeColor="text1"/>
                <w:szCs w:val="21"/>
              </w:rPr>
              <w:t>，所以Q</w:t>
            </w:r>
            <w:r>
              <w:rPr>
                <w:rFonts w:ascii="宋体" w:hAnsi="宋体" w:cs="宋体"/>
                <w:szCs w:val="21"/>
              </w:rPr>
              <w:t>8.3</w:t>
            </w:r>
            <w:r>
              <w:rPr>
                <w:rFonts w:ascii="宋体" w:hAnsi="宋体" w:cs="宋体"/>
                <w:color w:val="000000" w:themeColor="text1"/>
                <w:szCs w:val="21"/>
              </w:rPr>
              <w:t>条款不适用。</w:t>
            </w:r>
          </w:p>
        </w:tc>
      </w:tr>
      <w:tr>
        <w:tblPrEx>
          <w:tblCellMar>
            <w:top w:w="0" w:type="dxa"/>
            <w:left w:w="108" w:type="dxa"/>
            <w:bottom w:w="0" w:type="dxa"/>
            <w:right w:w="108" w:type="dxa"/>
          </w:tblCellMar>
        </w:tblPrEx>
        <w:trPr>
          <w:cantSplit/>
          <w:trHeight w:val="1417"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9"/>
              <w:widowControl w:val="0"/>
              <w:spacing w:line="240" w:lineRule="exact"/>
              <w:ind w:left="201" w:right="113" w:hanging="201"/>
              <w:jc w:val="center"/>
              <w:rPr>
                <w:rFonts w:ascii="宋体" w:hAnsi="宋体"/>
                <w:b/>
                <w:color w:val="000000" w:themeColor="text1"/>
                <w:sz w:val="20"/>
                <w:szCs w:val="20"/>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b/>
                <w:color w:val="000000" w:themeColor="text1"/>
                <w:sz w:val="20"/>
                <w:szCs w:val="20"/>
              </w:rPr>
            </w:pPr>
            <w:r>
              <w:rPr>
                <w:b/>
                <w:color w:val="000000" w:themeColor="text1"/>
                <w:sz w:val="20"/>
                <w:szCs w:val="20"/>
              </w:rPr>
              <w:t>2、相关方需求和期望识别情况</w:t>
            </w:r>
          </w:p>
          <w:p>
            <w:pPr>
              <w:pStyle w:val="9"/>
              <w:widowControl w:val="0"/>
              <w:ind w:firstLine="420"/>
              <w:rPr>
                <w:rFonts w:ascii="宋体" w:hAnsi="宋体" w:cs="宋体"/>
                <w:color w:val="000000" w:themeColor="text1"/>
                <w:szCs w:val="21"/>
              </w:rPr>
            </w:pPr>
            <w:r>
              <w:rPr>
                <w:rFonts w:ascii="宋体" w:hAnsi="宋体" w:cs="宋体"/>
                <w:color w:val="000000" w:themeColor="text1"/>
                <w:szCs w:val="21"/>
              </w:rPr>
              <w:t>提供了相关方</w:t>
            </w:r>
            <w:r>
              <w:rPr>
                <w:rFonts w:hint="eastAsia" w:ascii="宋体" w:hAnsi="宋体" w:cs="宋体"/>
                <w:color w:val="000000" w:themeColor="text1"/>
                <w:szCs w:val="21"/>
                <w:lang w:val="en-US" w:eastAsia="zh-CN"/>
              </w:rPr>
              <w:t>及相关方要求清单</w:t>
            </w:r>
            <w:r>
              <w:rPr>
                <w:rFonts w:ascii="宋体" w:hAnsi="宋体" w:cs="宋体"/>
                <w:color w:val="000000" w:themeColor="text1"/>
                <w:szCs w:val="21"/>
              </w:rPr>
              <w:t>，调查分析基本齐全，确定了优先考虑的顺序。</w:t>
            </w:r>
          </w:p>
          <w:p>
            <w:pPr>
              <w:pStyle w:val="9"/>
              <w:widowControl w:val="0"/>
              <w:spacing w:line="240" w:lineRule="exact"/>
              <w:ind w:firstLine="420"/>
              <w:rPr>
                <w:rFonts w:ascii="宋体" w:hAnsi="宋体" w:cs="宋体"/>
                <w:color w:val="000000" w:themeColor="text1"/>
                <w:szCs w:val="21"/>
              </w:rPr>
            </w:pPr>
            <w:r>
              <w:rPr>
                <w:rFonts w:hint="eastAsia" w:cs="宋体" w:asciiTheme="minorEastAsia" w:hAnsiTheme="minorEastAsia" w:eastAsiaTheme="minorEastAsia"/>
                <w:szCs w:val="21"/>
                <w:lang w:val="en-US" w:eastAsia="zh-CN"/>
              </w:rPr>
              <w:t>管理层</w:t>
            </w:r>
            <w:r>
              <w:rPr>
                <w:rFonts w:hint="eastAsia" w:cs="宋体" w:asciiTheme="minorEastAsia" w:hAnsiTheme="minorEastAsia" w:eastAsiaTheme="minorEastAsia"/>
                <w:szCs w:val="21"/>
              </w:rPr>
              <w:t>对这些相关方及其要求的相关信息进行监视和评审，以便于理解和持续满足相关方的需求和期望。</w:t>
            </w:r>
            <w:r>
              <w:rPr>
                <w:rFonts w:hint="eastAsia" w:cs="宋体" w:asciiTheme="minorEastAsia" w:hAnsiTheme="minorEastAsia" w:eastAsiaTheme="minorEastAsia"/>
                <w:szCs w:val="21"/>
                <w:lang w:val="en-US" w:eastAsia="zh-CN"/>
              </w:rPr>
              <w:t>自</w:t>
            </w:r>
            <w:r>
              <w:rPr>
                <w:rFonts w:ascii="宋体" w:hAnsi="宋体" w:cs="宋体"/>
                <w:color w:val="000000" w:themeColor="text1"/>
                <w:szCs w:val="21"/>
              </w:rPr>
              <w:t>体系建立</w:t>
            </w:r>
            <w:r>
              <w:rPr>
                <w:rFonts w:hint="eastAsia" w:ascii="宋体" w:hAnsi="宋体" w:cs="宋体"/>
                <w:color w:val="000000" w:themeColor="text1"/>
                <w:szCs w:val="21"/>
                <w:lang w:val="en-US" w:eastAsia="zh-CN"/>
              </w:rPr>
              <w:t>以来</w:t>
            </w:r>
            <w:r>
              <w:rPr>
                <w:rFonts w:ascii="宋体" w:hAnsi="宋体" w:cs="宋体"/>
                <w:color w:val="000000" w:themeColor="text1"/>
                <w:szCs w:val="21"/>
              </w:rPr>
              <w:t>，未发生明显变化的情况。</w:t>
            </w:r>
          </w:p>
        </w:tc>
      </w:tr>
      <w:tr>
        <w:tblPrEx>
          <w:tblCellMar>
            <w:top w:w="0" w:type="dxa"/>
            <w:left w:w="108" w:type="dxa"/>
            <w:bottom w:w="0" w:type="dxa"/>
            <w:right w:w="108" w:type="dxa"/>
          </w:tblCellMar>
        </w:tblPrEx>
        <w:trPr>
          <w:cantSplit/>
          <w:trHeight w:val="2077"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9"/>
              <w:widowControl w:val="0"/>
              <w:spacing w:line="240" w:lineRule="exact"/>
              <w:ind w:left="201" w:right="113" w:hanging="201"/>
              <w:jc w:val="center"/>
              <w:rPr>
                <w:rFonts w:ascii="宋体" w:hAnsi="宋体"/>
                <w:b/>
                <w:color w:val="000000" w:themeColor="text1"/>
                <w:sz w:val="20"/>
                <w:szCs w:val="20"/>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80" w:lineRule="exact"/>
              <w:rPr>
                <w:rFonts w:ascii="宋体" w:hAnsi="宋体"/>
                <w:b/>
                <w:color w:val="000000" w:themeColor="text1"/>
                <w:sz w:val="20"/>
                <w:szCs w:val="20"/>
              </w:rPr>
            </w:pPr>
            <w:r>
              <w:rPr>
                <w:b/>
                <w:color w:val="000000" w:themeColor="text1"/>
                <w:sz w:val="20"/>
                <w:szCs w:val="20"/>
              </w:rPr>
              <w:t>3.</w:t>
            </w:r>
            <w:r>
              <w:rPr>
                <w:rFonts w:ascii="MS Mincho" w:hAnsi="MS Mincho" w:eastAsia="MS Mincho" w:cs="MS Mincho"/>
                <w:b/>
                <w:color w:val="000000" w:themeColor="text1"/>
                <w:spacing w:val="-10"/>
                <w:sz w:val="20"/>
                <w:szCs w:val="20"/>
              </w:rPr>
              <w:t xml:space="preserve"> ☑</w:t>
            </w:r>
            <w:r>
              <w:rPr>
                <w:rFonts w:ascii="宋体" w:hAnsi="宋体"/>
                <w:b/>
                <w:color w:val="000000" w:themeColor="text1"/>
                <w:sz w:val="20"/>
                <w:szCs w:val="20"/>
              </w:rPr>
              <w:t>质量/</w:t>
            </w:r>
            <w:r>
              <w:rPr>
                <w:rFonts w:ascii="MS Mincho" w:hAnsi="MS Mincho" w:eastAsia="MS Mincho" w:cs="MS Mincho"/>
                <w:b/>
                <w:color w:val="000000" w:themeColor="text1"/>
                <w:spacing w:val="-10"/>
                <w:sz w:val="20"/>
                <w:szCs w:val="20"/>
              </w:rPr>
              <w:t>☑</w:t>
            </w:r>
            <w:r>
              <w:rPr>
                <w:rFonts w:ascii="宋体" w:hAnsi="宋体"/>
                <w:b/>
                <w:color w:val="000000" w:themeColor="text1"/>
                <w:sz w:val="20"/>
                <w:szCs w:val="20"/>
              </w:rPr>
              <w:t>环境/</w:t>
            </w:r>
            <w:r>
              <w:rPr>
                <w:rFonts w:ascii="MS Mincho" w:hAnsi="MS Mincho" w:eastAsia="MS Mincho" w:cs="MS Mincho"/>
                <w:b/>
                <w:color w:val="000000" w:themeColor="text1"/>
                <w:spacing w:val="-10"/>
                <w:sz w:val="20"/>
                <w:szCs w:val="20"/>
              </w:rPr>
              <w:t>☑</w:t>
            </w:r>
            <w:r>
              <w:rPr>
                <w:rFonts w:ascii="宋体" w:hAnsi="宋体"/>
                <w:b/>
                <w:color w:val="000000" w:themeColor="text1"/>
                <w:sz w:val="20"/>
                <w:szCs w:val="20"/>
              </w:rPr>
              <w:t>职业健康安全方针（组织</w:t>
            </w:r>
            <w:r>
              <w:rPr>
                <w:b/>
                <w:color w:val="000000" w:themeColor="text1"/>
                <w:sz w:val="20"/>
                <w:szCs w:val="20"/>
              </w:rPr>
              <w:t>方针</w:t>
            </w:r>
            <w:r>
              <w:rPr>
                <w:rFonts w:ascii="宋体" w:hAnsi="宋体"/>
                <w:b/>
                <w:color w:val="000000" w:themeColor="text1"/>
                <w:sz w:val="20"/>
                <w:szCs w:val="20"/>
              </w:rPr>
              <w:t>的适宜性/持续适宜性、方针的传达及职工的理解等）</w:t>
            </w:r>
          </w:p>
          <w:p>
            <w:pPr>
              <w:spacing w:line="28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公司管理方针：</w:t>
            </w:r>
            <w:r>
              <w:rPr>
                <w:rFonts w:hint="eastAsia" w:cs="宋体" w:asciiTheme="minorEastAsia" w:hAnsiTheme="minorEastAsia" w:eastAsiaTheme="minorEastAsia"/>
                <w:szCs w:val="21"/>
              </w:rPr>
              <w:t>服务用心周到，保证销售产品质量，顾客满意；</w:t>
            </w:r>
          </w:p>
          <w:p>
            <w:pPr>
              <w:spacing w:line="280" w:lineRule="exact"/>
              <w:ind w:firstLine="1890" w:firstLineChars="9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污染预防、关注健康；遵守法规，持续改进。</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与总经理进行交谈，对方针内涵的理解</w:t>
            </w:r>
            <w:r>
              <w:rPr>
                <w:rFonts w:hint="eastAsia" w:cs="宋体" w:asciiTheme="minorEastAsia" w:hAnsiTheme="minorEastAsia" w:eastAsiaTheme="minorEastAsia"/>
                <w:szCs w:val="21"/>
                <w:lang w:val="en-US" w:eastAsia="zh-CN"/>
              </w:rPr>
              <w:t>，手册中明确内涵</w:t>
            </w:r>
            <w:r>
              <w:rPr>
                <w:rFonts w:hint="eastAsia" w:cs="宋体" w:asciiTheme="minorEastAsia" w:hAnsiTheme="minorEastAsia" w:eastAsiaTheme="minorEastAsia"/>
                <w:szCs w:val="21"/>
              </w:rPr>
              <w:t>；方针能为制定目标提供框架，方针基本符合标准的要求。</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总经理用会议、文件、宣传栏或资料等方法确保管理方针传达给所有为公司工作或代表公司的人员或相关方，并理解得到贯彻。</w:t>
            </w:r>
          </w:p>
          <w:p>
            <w:pPr>
              <w:pStyle w:val="9"/>
              <w:widowControl w:val="0"/>
              <w:spacing w:line="240" w:lineRule="exact"/>
              <w:ind w:left="199" w:firstLine="210"/>
              <w:rPr>
                <w:b/>
                <w:color w:val="000000" w:themeColor="text1"/>
              </w:rPr>
            </w:pPr>
          </w:p>
        </w:tc>
      </w:tr>
      <w:tr>
        <w:tblPrEx>
          <w:tblCellMar>
            <w:top w:w="0" w:type="dxa"/>
            <w:left w:w="108" w:type="dxa"/>
            <w:bottom w:w="0" w:type="dxa"/>
            <w:right w:w="108" w:type="dxa"/>
          </w:tblCellMar>
        </w:tblPrEx>
        <w:trPr>
          <w:cantSplit/>
          <w:trHeight w:val="144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9"/>
              <w:widowControl w:val="0"/>
              <w:spacing w:line="240" w:lineRule="exact"/>
              <w:ind w:left="201" w:right="113" w:hanging="201"/>
              <w:jc w:val="center"/>
              <w:rPr>
                <w:rFonts w:ascii="宋体" w:hAnsi="宋体"/>
                <w:b/>
                <w:color w:val="000000" w:themeColor="text1"/>
                <w:sz w:val="20"/>
                <w:szCs w:val="20"/>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b/>
                <w:color w:val="000000" w:themeColor="text1"/>
              </w:rPr>
            </w:pPr>
            <w:r>
              <w:rPr>
                <w:b/>
                <w:color w:val="000000" w:themeColor="text1"/>
              </w:rPr>
              <w:t>4、风险识别与控制策划（QMS）</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提供了内外因素识别清单、风险及机遇识别评价表，将需要应对的风险和机遇进行风险分析确定风险级别（采用打分法），在管理体系所确定的过程中，整合制定针对性管理措施。</w:t>
            </w:r>
          </w:p>
          <w:p>
            <w:pPr>
              <w:pStyle w:val="9"/>
              <w:widowControl w:val="0"/>
              <w:spacing w:line="240" w:lineRule="exact"/>
              <w:ind w:firstLine="420"/>
              <w:rPr>
                <w:b/>
                <w:color w:val="000000" w:themeColor="text1"/>
              </w:rPr>
            </w:pPr>
            <w:r>
              <w:rPr>
                <w:rFonts w:hint="eastAsia" w:cs="宋体" w:asciiTheme="minorEastAsia" w:hAnsiTheme="minorEastAsia" w:eastAsiaTheme="minorEastAsia"/>
                <w:szCs w:val="21"/>
              </w:rPr>
              <w:t>建立风险对策及跟进表，明确责任部门负责跟踪风险对策实施和完成时间。</w:t>
            </w:r>
          </w:p>
        </w:tc>
      </w:tr>
      <w:tr>
        <w:tblPrEx>
          <w:tblCellMar>
            <w:top w:w="0" w:type="dxa"/>
            <w:left w:w="108" w:type="dxa"/>
            <w:bottom w:w="0" w:type="dxa"/>
            <w:right w:w="108" w:type="dxa"/>
          </w:tblCellMar>
        </w:tblPrEx>
        <w:trPr>
          <w:cantSplit/>
          <w:trHeight w:val="193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300" w:lineRule="exact"/>
              <w:rPr>
                <w:rFonts w:ascii="宋体" w:hAnsi="宋体"/>
                <w:b/>
                <w:color w:val="000000" w:themeColor="text1"/>
                <w:sz w:val="20"/>
                <w:szCs w:val="20"/>
              </w:rPr>
            </w:pPr>
            <w:r>
              <w:rPr>
                <w:b/>
                <w:color w:val="000000" w:themeColor="text1"/>
                <w:sz w:val="20"/>
                <w:szCs w:val="20"/>
              </w:rPr>
              <w:t>5.QMS</w:t>
            </w:r>
            <w:r>
              <w:rPr>
                <w:rFonts w:ascii="宋体" w:hAnsi="宋体"/>
                <w:b/>
                <w:color w:val="000000" w:themeColor="text1"/>
                <w:sz w:val="20"/>
                <w:szCs w:val="20"/>
              </w:rPr>
              <w:t>过程</w:t>
            </w:r>
          </w:p>
          <w:p>
            <w:pPr>
              <w:pStyle w:val="9"/>
              <w:widowControl w:val="0"/>
              <w:tabs>
                <w:tab w:val="left" w:pos="540"/>
              </w:tabs>
              <w:spacing w:line="300" w:lineRule="exact"/>
              <w:ind w:left="201" w:hanging="201"/>
              <w:rPr>
                <w:rFonts w:ascii="宋体" w:hAnsi="宋体"/>
                <w:b/>
                <w:color w:val="000000" w:themeColor="text1"/>
                <w:sz w:val="20"/>
                <w:szCs w:val="20"/>
                <w:u w:val="single"/>
              </w:rPr>
            </w:pPr>
            <w:r>
              <w:rPr>
                <w:rFonts w:ascii="宋体" w:hAnsi="宋体"/>
                <w:b/>
                <w:color w:val="000000" w:themeColor="text1"/>
                <w:sz w:val="20"/>
                <w:szCs w:val="20"/>
              </w:rPr>
              <w:t>质量管理体系过程有：</w:t>
            </w:r>
          </w:p>
          <w:p>
            <w:pPr>
              <w:pStyle w:val="9"/>
              <w:widowControl w:val="0"/>
              <w:tabs>
                <w:tab w:val="left" w:pos="540"/>
              </w:tabs>
              <w:spacing w:line="300" w:lineRule="exact"/>
              <w:ind w:left="201" w:hanging="201"/>
              <w:rPr>
                <w:rFonts w:ascii="宋体" w:hAnsi="宋体"/>
                <w:b/>
                <w:color w:val="000000" w:themeColor="text1"/>
                <w:sz w:val="20"/>
                <w:szCs w:val="20"/>
                <w:u w:val="single"/>
              </w:rPr>
            </w:pPr>
            <w:r>
              <w:rPr>
                <w:rFonts w:ascii="宋体" w:hAnsi="宋体"/>
                <w:b/>
                <w:color w:val="000000" w:themeColor="text1"/>
                <w:sz w:val="20"/>
                <w:szCs w:val="20"/>
              </w:rPr>
              <w:t>其中关键过程有</w:t>
            </w:r>
            <w:r>
              <w:rPr>
                <w:rFonts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销售服务过程</w:t>
            </w:r>
            <w:r>
              <w:rPr>
                <w:rFonts w:ascii="宋体" w:hAnsi="宋体"/>
                <w:b/>
                <w:color w:val="000000" w:themeColor="text1"/>
                <w:sz w:val="20"/>
                <w:szCs w:val="20"/>
                <w:u w:val="single"/>
              </w:rPr>
              <w:t xml:space="preserve">      </w:t>
            </w:r>
          </w:p>
          <w:p>
            <w:pPr>
              <w:pStyle w:val="9"/>
              <w:widowControl w:val="0"/>
              <w:tabs>
                <w:tab w:val="left" w:pos="540"/>
              </w:tabs>
              <w:spacing w:line="300" w:lineRule="exact"/>
              <w:ind w:left="201" w:hanging="201"/>
              <w:rPr>
                <w:rFonts w:ascii="宋体" w:hAnsi="宋体"/>
                <w:b/>
                <w:color w:val="000000" w:themeColor="text1"/>
                <w:sz w:val="20"/>
                <w:szCs w:val="20"/>
                <w:u w:val="single"/>
              </w:rPr>
            </w:pPr>
            <w:r>
              <w:rPr>
                <w:rFonts w:ascii="宋体" w:hAnsi="宋体"/>
                <w:b/>
                <w:color w:val="000000" w:themeColor="text1"/>
                <w:sz w:val="20"/>
                <w:szCs w:val="20"/>
              </w:rPr>
              <w:t>需要确认过程</w:t>
            </w:r>
          </w:p>
          <w:p>
            <w:pPr>
              <w:pStyle w:val="21"/>
              <w:widowControl w:val="0"/>
              <w:spacing w:line="360" w:lineRule="auto"/>
              <w:ind w:left="420" w:right="284" w:firstLine="201"/>
              <w:jc w:val="left"/>
              <w:rPr>
                <w:rFonts w:ascii="宋体" w:hAnsi="宋体"/>
                <w:b/>
                <w:color w:val="000000" w:themeColor="text1"/>
                <w:sz w:val="20"/>
              </w:rPr>
            </w:pPr>
            <w:r>
              <w:rPr>
                <w:rFonts w:ascii="宋体" w:hAnsi="宋体"/>
                <w:b/>
                <w:color w:val="000000" w:themeColor="text1"/>
                <w:sz w:val="20"/>
              </w:rPr>
              <w:t xml:space="preserve">不适用条款是 8.3 ，不适用理由： </w:t>
            </w:r>
            <w:r>
              <w:rPr>
                <w:rFonts w:ascii="宋体" w:hAnsi="宋体"/>
                <w:b/>
                <w:color w:val="000000" w:themeColor="text1"/>
                <w:sz w:val="20"/>
                <w:szCs w:val="20"/>
                <w:u w:val="single"/>
              </w:rPr>
              <w:t xml:space="preserve"> </w:t>
            </w:r>
            <w:r>
              <w:rPr>
                <w:rFonts w:hint="eastAsia" w:eastAsia="宋体" w:cs="宋体" w:asciiTheme="minorEastAsia" w:hAnsiTheme="minorEastAsia"/>
                <w:sz w:val="21"/>
                <w:szCs w:val="21"/>
                <w:u w:val="single"/>
                <w:lang w:eastAsia="zh-CN"/>
              </w:rPr>
              <w:t>钢质防火门、防盗门</w:t>
            </w:r>
            <w:r>
              <w:rPr>
                <w:rFonts w:hint="eastAsia" w:eastAsia="宋体" w:cs="宋体" w:asciiTheme="minorEastAsia" w:hAnsiTheme="minorEastAsia"/>
                <w:sz w:val="21"/>
                <w:szCs w:val="21"/>
                <w:u w:val="single"/>
                <w:lang w:val="en-US" w:eastAsia="zh-CN"/>
              </w:rPr>
              <w:t>的销售</w:t>
            </w:r>
            <w:r>
              <w:rPr>
                <w:rFonts w:eastAsia="宋体" w:cs="宋体" w:asciiTheme="minorEastAsia" w:hAnsiTheme="minorEastAsia"/>
                <w:sz w:val="21"/>
                <w:szCs w:val="21"/>
                <w:u w:val="single"/>
              </w:rPr>
              <w:t>所涉</w:t>
            </w:r>
            <w:r>
              <w:rPr>
                <w:rFonts w:cs="宋体" w:asciiTheme="minorEastAsia" w:hAnsiTheme="minorEastAsia"/>
                <w:sz w:val="21"/>
                <w:szCs w:val="21"/>
                <w:u w:val="single"/>
              </w:rPr>
              <w:t>及的相关管理活动按照国家</w:t>
            </w:r>
            <w:r>
              <w:rPr>
                <w:rFonts w:hint="eastAsia" w:cs="宋体" w:asciiTheme="minorEastAsia" w:hAnsiTheme="minorEastAsia"/>
                <w:sz w:val="21"/>
                <w:szCs w:val="21"/>
                <w:u w:val="single"/>
                <w:lang w:val="en-US" w:eastAsia="zh-CN"/>
              </w:rPr>
              <w:t>和行业</w:t>
            </w:r>
            <w:r>
              <w:rPr>
                <w:rFonts w:cs="宋体" w:asciiTheme="minorEastAsia" w:hAnsiTheme="minorEastAsia"/>
                <w:sz w:val="21"/>
                <w:szCs w:val="21"/>
                <w:u w:val="single"/>
              </w:rPr>
              <w:t>标准和客户及法规要求进行服务，</w:t>
            </w:r>
            <w:r>
              <w:rPr>
                <w:rFonts w:cs="宋体" w:asciiTheme="minorEastAsia" w:hAnsiTheme="minorEastAsia" w:eastAsiaTheme="minorEastAsia"/>
                <w:sz w:val="21"/>
                <w:szCs w:val="21"/>
                <w:u w:val="single"/>
              </w:rPr>
              <w:t>8.3</w:t>
            </w:r>
            <w:r>
              <w:rPr>
                <w:rFonts w:cs="宋体" w:asciiTheme="minorEastAsia" w:hAnsiTheme="minorEastAsia"/>
                <w:sz w:val="21"/>
                <w:szCs w:val="21"/>
                <w:u w:val="single"/>
              </w:rPr>
              <w:t>条款不适用，故删减此条款，不影响公司确保产品和服务的能力或责任，对增强顾客满意不会产生影响。</w:t>
            </w:r>
          </w:p>
          <w:p>
            <w:pPr>
              <w:pStyle w:val="9"/>
              <w:widowControl w:val="0"/>
              <w:tabs>
                <w:tab w:val="left" w:pos="540"/>
              </w:tabs>
              <w:spacing w:line="300" w:lineRule="exact"/>
              <w:ind w:left="211" w:hanging="211"/>
              <w:rPr>
                <w:rFonts w:ascii="宋体" w:hAnsi="宋体"/>
                <w:b/>
                <w:color w:val="000000" w:themeColor="text1"/>
                <w:szCs w:val="21"/>
              </w:rPr>
            </w:pPr>
          </w:p>
        </w:tc>
      </w:tr>
      <w:tr>
        <w:tblPrEx>
          <w:tblCellMar>
            <w:top w:w="0" w:type="dxa"/>
            <w:left w:w="108" w:type="dxa"/>
            <w:bottom w:w="0" w:type="dxa"/>
            <w:right w:w="108" w:type="dxa"/>
          </w:tblCellMar>
        </w:tblPrEx>
        <w:trPr>
          <w:cantSplit/>
          <w:trHeight w:val="214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b/>
                <w:color w:val="000000" w:themeColor="text1"/>
                <w:spacing w:val="-12"/>
                <w:sz w:val="20"/>
                <w:szCs w:val="20"/>
              </w:rPr>
              <w:t>环境因素/</w:t>
            </w:r>
          </w:p>
          <w:p>
            <w:pPr>
              <w:pStyle w:val="9"/>
              <w:widowControl w:val="0"/>
              <w:spacing w:line="300" w:lineRule="exact"/>
              <w:rPr>
                <w:rFonts w:ascii="宋体" w:hAnsi="宋体"/>
                <w:b/>
                <w:color w:val="000000" w:themeColor="text1"/>
                <w:spacing w:val="-8"/>
                <w:sz w:val="20"/>
                <w:szCs w:val="20"/>
              </w:rPr>
            </w:pPr>
            <w:r>
              <w:rPr>
                <w:rFonts w:ascii="宋体" w:hAnsi="宋体"/>
                <w:b/>
                <w:color w:val="000000" w:themeColor="text1"/>
                <w:sz w:val="20"/>
                <w:szCs w:val="20"/>
              </w:rPr>
              <w:t>（</w:t>
            </w:r>
            <w:r>
              <w:rPr>
                <w:rFonts w:ascii="宋体" w:hAnsi="宋体"/>
                <w:b/>
                <w:color w:val="000000" w:themeColor="text1"/>
                <w:spacing w:val="-8"/>
                <w:sz w:val="20"/>
                <w:szCs w:val="20"/>
              </w:rPr>
              <w:t>环境因素</w:t>
            </w:r>
            <w:r>
              <w:rPr>
                <w:rFonts w:ascii="宋体" w:hAnsi="宋体"/>
                <w:b/>
                <w:color w:val="000000" w:themeColor="text1"/>
                <w:sz w:val="20"/>
                <w:szCs w:val="20"/>
              </w:rPr>
              <w:t>辨识是否充分、重要环境因素评价合理性，</w:t>
            </w:r>
            <w:r>
              <w:rPr>
                <w:rFonts w:ascii="宋体" w:hAnsi="宋体"/>
                <w:b/>
                <w:color w:val="000000" w:themeColor="text1"/>
                <w:spacing w:val="-8"/>
                <w:sz w:val="20"/>
                <w:szCs w:val="20"/>
              </w:rPr>
              <w:t>以及环境因素动态变更的及时性等）</w:t>
            </w:r>
          </w:p>
          <w:p>
            <w:pPr>
              <w:pStyle w:val="22"/>
              <w:widowControl w:val="0"/>
              <w:ind w:firstLine="420"/>
              <w:rPr>
                <w:rFonts w:cs="宋体" w:asciiTheme="minorEastAsia" w:hAnsiTheme="minorEastAsia" w:eastAsiaTheme="minorEastAsia"/>
                <w:szCs w:val="21"/>
              </w:rPr>
            </w:pPr>
            <w:r>
              <w:rPr>
                <w:rFonts w:ascii="宋体" w:hAnsi="宋体"/>
                <w:color w:val="000000" w:themeColor="text1"/>
                <w:szCs w:val="21"/>
              </w:rPr>
              <w:t>识别了办公、服务、业务、质检等过程的环境因素，动态更新，评价出的重要环境因素包括：</w:t>
            </w:r>
            <w:r>
              <w:rPr>
                <w:rFonts w:hint="eastAsia" w:ascii="宋体" w:hAnsi="宋体"/>
                <w:sz w:val="21"/>
                <w:szCs w:val="21"/>
                <w:u w:val="none"/>
              </w:rPr>
              <w:t>固</w:t>
            </w:r>
            <w:r>
              <w:rPr>
                <w:rFonts w:hint="eastAsia" w:ascii="宋体" w:hAnsi="宋体"/>
                <w:sz w:val="21"/>
                <w:szCs w:val="21"/>
                <w:u w:val="none"/>
                <w:lang w:val="en-US" w:eastAsia="zh-CN"/>
              </w:rPr>
              <w:t>体</w:t>
            </w:r>
            <w:r>
              <w:rPr>
                <w:rFonts w:hint="eastAsia" w:ascii="宋体" w:hAnsi="宋体"/>
                <w:sz w:val="21"/>
                <w:szCs w:val="21"/>
                <w:u w:val="none"/>
              </w:rPr>
              <w:t>废</w:t>
            </w:r>
            <w:r>
              <w:rPr>
                <w:rFonts w:hint="eastAsia" w:ascii="宋体" w:hAnsi="宋体"/>
                <w:sz w:val="21"/>
                <w:szCs w:val="21"/>
                <w:u w:val="none"/>
                <w:lang w:val="en-US" w:eastAsia="zh-CN"/>
              </w:rPr>
              <w:t>弃物</w:t>
            </w:r>
            <w:r>
              <w:rPr>
                <w:rFonts w:hint="eastAsia" w:ascii="宋体" w:hAnsi="宋体"/>
                <w:sz w:val="21"/>
                <w:szCs w:val="21"/>
                <w:u w:val="none"/>
              </w:rPr>
              <w:t>排放、水电</w:t>
            </w:r>
            <w:r>
              <w:rPr>
                <w:rFonts w:hint="eastAsia" w:ascii="宋体" w:hAnsi="宋体"/>
                <w:sz w:val="21"/>
                <w:szCs w:val="21"/>
                <w:u w:val="none"/>
                <w:lang w:val="en-US" w:eastAsia="zh-CN"/>
              </w:rPr>
              <w:t>及办公耗材</w:t>
            </w:r>
            <w:r>
              <w:rPr>
                <w:rFonts w:hint="eastAsia" w:ascii="宋体" w:hAnsi="宋体"/>
                <w:sz w:val="21"/>
                <w:szCs w:val="21"/>
                <w:u w:val="none"/>
              </w:rPr>
              <w:t>消耗、火灾</w:t>
            </w:r>
            <w:r>
              <w:rPr>
                <w:rFonts w:hint="eastAsia" w:ascii="宋体" w:hAnsi="宋体"/>
                <w:sz w:val="21"/>
                <w:szCs w:val="21"/>
                <w:u w:val="none"/>
                <w:lang w:val="en-US" w:eastAsia="zh-CN"/>
              </w:rPr>
              <w:t>3</w:t>
            </w:r>
            <w:r>
              <w:rPr>
                <w:rFonts w:cs="宋体" w:asciiTheme="minorEastAsia" w:hAnsiTheme="minorEastAsia"/>
                <w:szCs w:val="21"/>
              </w:rPr>
              <w:t>项重要环境因素。</w:t>
            </w:r>
          </w:p>
          <w:p>
            <w:pPr>
              <w:pStyle w:val="22"/>
              <w:widowControl w:val="0"/>
              <w:ind w:firstLine="420"/>
              <w:rPr>
                <w:rFonts w:ascii="宋体" w:hAnsi="宋体"/>
                <w:color w:val="000000" w:themeColor="text1"/>
                <w:szCs w:val="21"/>
              </w:rPr>
            </w:pPr>
            <w:r>
              <w:rPr>
                <w:rFonts w:ascii="宋体" w:hAnsi="宋体"/>
                <w:color w:val="000000" w:themeColor="text1"/>
                <w:szCs w:val="21"/>
              </w:rPr>
              <w:t>在采购、销售、服务、质检、运输、交付、日常办公等过程能使用生命周期观点和方法识别环境因素并加以管理。</w:t>
            </w:r>
          </w:p>
          <w:p>
            <w:pPr>
              <w:pStyle w:val="9"/>
              <w:widowControl w:val="0"/>
              <w:spacing w:line="300" w:lineRule="exact"/>
              <w:ind w:firstLine="420"/>
              <w:rPr>
                <w:b/>
                <w:color w:val="000000" w:themeColor="text1"/>
                <w:sz w:val="20"/>
                <w:szCs w:val="20"/>
              </w:rPr>
            </w:pPr>
            <w:r>
              <w:rPr>
                <w:rFonts w:ascii="宋体" w:hAnsi="宋体"/>
                <w:color w:val="000000" w:themeColor="text1"/>
                <w:szCs w:val="21"/>
              </w:rPr>
              <w:t>公司通过制定目标、管理方案、应急预案、日常检查与控制等方法，对环境因素进行控制，同时针对重要环境因素、风险和机遇及环境目标，制定了措施方案，措施方案按计划实施中，措施方案适宜、实施基本有效。</w:t>
            </w:r>
          </w:p>
        </w:tc>
      </w:tr>
      <w:tr>
        <w:tblPrEx>
          <w:tblCellMar>
            <w:top w:w="0" w:type="dxa"/>
            <w:left w:w="108" w:type="dxa"/>
            <w:bottom w:w="0" w:type="dxa"/>
            <w:right w:w="108" w:type="dxa"/>
          </w:tblCellMar>
        </w:tblPrEx>
        <w:trPr>
          <w:cantSplit/>
          <w:trHeight w:val="214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b/>
                <w:color w:val="000000" w:themeColor="text1"/>
                <w:spacing w:val="-12"/>
                <w:sz w:val="20"/>
                <w:szCs w:val="20"/>
              </w:rPr>
              <w:t>职业健康安全危险源</w:t>
            </w:r>
          </w:p>
          <w:p>
            <w:pPr>
              <w:pStyle w:val="9"/>
              <w:widowControl w:val="0"/>
              <w:spacing w:line="300" w:lineRule="exact"/>
              <w:rPr>
                <w:rFonts w:ascii="宋体" w:hAnsi="宋体"/>
                <w:b/>
                <w:color w:val="000000" w:themeColor="text1"/>
                <w:spacing w:val="-8"/>
                <w:sz w:val="20"/>
                <w:szCs w:val="20"/>
              </w:rPr>
            </w:pPr>
            <w:r>
              <w:rPr>
                <w:rFonts w:ascii="宋体" w:hAnsi="宋体"/>
                <w:b/>
                <w:color w:val="000000" w:themeColor="text1"/>
                <w:sz w:val="20"/>
                <w:szCs w:val="20"/>
              </w:rPr>
              <w:t>（</w:t>
            </w:r>
            <w:r>
              <w:rPr>
                <w:rFonts w:ascii="宋体" w:hAnsi="宋体"/>
                <w:b/>
                <w:color w:val="000000" w:themeColor="text1"/>
                <w:spacing w:val="-8"/>
                <w:sz w:val="20"/>
                <w:szCs w:val="20"/>
              </w:rPr>
              <w:t>职业健康安全危险源</w:t>
            </w:r>
            <w:r>
              <w:rPr>
                <w:rFonts w:ascii="宋体" w:hAnsi="宋体"/>
                <w:b/>
                <w:color w:val="000000" w:themeColor="text1"/>
                <w:sz w:val="20"/>
                <w:szCs w:val="20"/>
              </w:rPr>
              <w:t>辨识是否充分、风险评价合理性，</w:t>
            </w:r>
            <w:r>
              <w:rPr>
                <w:rFonts w:ascii="宋体" w:hAnsi="宋体"/>
                <w:b/>
                <w:color w:val="000000" w:themeColor="text1"/>
                <w:spacing w:val="-8"/>
                <w:sz w:val="20"/>
                <w:szCs w:val="20"/>
              </w:rPr>
              <w:t>以及风险评价动态变更的及时性等）</w:t>
            </w:r>
          </w:p>
          <w:p>
            <w:pPr>
              <w:pStyle w:val="22"/>
              <w:widowControl w:val="0"/>
              <w:ind w:firstLine="420"/>
              <w:rPr>
                <w:rFonts w:ascii="宋体" w:hAnsi="宋体"/>
                <w:color w:val="000000" w:themeColor="text1"/>
                <w:szCs w:val="21"/>
              </w:rPr>
            </w:pPr>
            <w:r>
              <w:rPr>
                <w:rFonts w:ascii="宋体" w:hAnsi="宋体"/>
                <w:color w:val="000000" w:themeColor="text1"/>
                <w:szCs w:val="21"/>
              </w:rPr>
              <w:t>识别了办公、服务、业务、质检等过程的危险源，动态更新，确定的不可接受风险包括：</w:t>
            </w:r>
            <w:r>
              <w:rPr>
                <w:rFonts w:hint="eastAsia" w:cs="宋体" w:asciiTheme="minorEastAsia" w:hAnsiTheme="minorEastAsia" w:eastAsiaTheme="minorEastAsia"/>
                <w:sz w:val="21"/>
                <w:szCs w:val="21"/>
              </w:rPr>
              <w:t>触电伤害、火灾、</w:t>
            </w:r>
            <w:r>
              <w:rPr>
                <w:rFonts w:hint="eastAsia" w:cs="宋体" w:asciiTheme="minorEastAsia" w:hAnsiTheme="minorEastAsia" w:eastAsiaTheme="minorEastAsia"/>
                <w:sz w:val="21"/>
                <w:szCs w:val="21"/>
                <w:lang w:val="en-US" w:eastAsia="zh-CN"/>
              </w:rPr>
              <w:t>意外伤害（交通等</w:t>
            </w:r>
            <w:r>
              <w:rPr>
                <w:rFonts w:hint="eastAsia" w:cs="宋体" w:asciiTheme="minorEastAsia" w:hAnsiTheme="minorEastAsia" w:eastAsiaTheme="minorEastAsia"/>
                <w:sz w:val="21"/>
                <w:szCs w:val="21"/>
                <w:lang w:eastAsia="zh-CN"/>
              </w:rPr>
              <w:t>）</w:t>
            </w:r>
            <w:r>
              <w:rPr>
                <w:rFonts w:ascii="宋体" w:hAnsi="宋体"/>
                <w:color w:val="000000" w:themeColor="text1"/>
                <w:szCs w:val="21"/>
              </w:rPr>
              <w:t>。</w:t>
            </w:r>
          </w:p>
          <w:p>
            <w:pPr>
              <w:pStyle w:val="22"/>
              <w:widowControl w:val="0"/>
              <w:ind w:firstLine="420"/>
              <w:rPr>
                <w:rFonts w:ascii="宋体" w:hAnsi="宋体"/>
                <w:color w:val="000000" w:themeColor="text1"/>
                <w:szCs w:val="21"/>
              </w:rPr>
            </w:pPr>
            <w:r>
              <w:rPr>
                <w:rFonts w:ascii="宋体" w:hAnsi="宋体"/>
                <w:color w:val="000000" w:themeColor="text1"/>
                <w:szCs w:val="21"/>
              </w:rPr>
              <w:t>公司通过制定目标、管理方案、应急预案、日常检查与控制等方法，对危险源、不可接受风险进行控制，针对不可接受风险、职业健康安全目标，制了措施方案，措施方案按计划实施中，措施方案基本适宜、实施基本有效。</w:t>
            </w:r>
          </w:p>
          <w:p>
            <w:pPr>
              <w:pStyle w:val="9"/>
              <w:widowControl w:val="0"/>
              <w:spacing w:line="300" w:lineRule="exact"/>
              <w:ind w:firstLine="420"/>
              <w:rPr>
                <w:b/>
                <w:color w:val="000000" w:themeColor="text1"/>
                <w:sz w:val="20"/>
                <w:szCs w:val="20"/>
              </w:rPr>
            </w:pPr>
            <w:r>
              <w:rPr>
                <w:rFonts w:ascii="宋体" w:hAnsi="宋体"/>
                <w:color w:val="000000" w:themeColor="text1"/>
                <w:szCs w:val="21"/>
              </w:rPr>
              <w:t>公司通过日常巡视等方式进行职业健康安全检查，监视和测量公司的职业健康安全状况，检查工作基本按要求实施。</w:t>
            </w:r>
          </w:p>
        </w:tc>
      </w:tr>
      <w:tr>
        <w:tblPrEx>
          <w:tblCellMar>
            <w:top w:w="0" w:type="dxa"/>
            <w:left w:w="108" w:type="dxa"/>
            <w:bottom w:w="0" w:type="dxa"/>
            <w:right w:w="108" w:type="dxa"/>
          </w:tblCellMar>
        </w:tblPrEx>
        <w:trPr>
          <w:cantSplit/>
          <w:trHeight w:val="18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300" w:lineRule="exact"/>
              <w:rPr>
                <w:b/>
                <w:color w:val="000000" w:themeColor="text1"/>
                <w:spacing w:val="-4"/>
                <w:szCs w:val="21"/>
              </w:rPr>
            </w:pPr>
            <w:r>
              <w:rPr>
                <w:b/>
                <w:color w:val="000000" w:themeColor="text1"/>
                <w:szCs w:val="21"/>
              </w:rPr>
              <w:t xml:space="preserve">4. </w:t>
            </w:r>
            <w:r>
              <w:rPr>
                <w:rFonts w:ascii="宋体" w:hAnsi="宋体"/>
                <w:b/>
                <w:color w:val="000000" w:themeColor="text1"/>
                <w:spacing w:val="-4"/>
                <w:szCs w:val="21"/>
              </w:rPr>
              <w:t>法律法规及其他要求</w:t>
            </w:r>
          </w:p>
          <w:p>
            <w:pPr>
              <w:pStyle w:val="9"/>
              <w:widowControl w:val="0"/>
              <w:tabs>
                <w:tab w:val="left" w:pos="540"/>
              </w:tabs>
              <w:spacing w:line="300" w:lineRule="exact"/>
              <w:ind w:left="211" w:hanging="211"/>
              <w:rPr>
                <w:rFonts w:ascii="宋体" w:hAnsi="宋体"/>
                <w:b/>
                <w:color w:val="000000" w:themeColor="text1"/>
                <w:szCs w:val="21"/>
              </w:rPr>
            </w:pPr>
          </w:p>
          <w:p>
            <w:pPr>
              <w:pStyle w:val="23"/>
              <w:widowControl w:val="0"/>
              <w:numPr>
                <w:ilvl w:val="0"/>
                <w:numId w:val="2"/>
              </w:numPr>
              <w:tabs>
                <w:tab w:val="left" w:pos="540"/>
              </w:tabs>
              <w:spacing w:line="300" w:lineRule="exact"/>
              <w:ind w:firstLine="420"/>
              <w:rPr>
                <w:rFonts w:ascii="宋体" w:hAnsi="宋体"/>
                <w:b/>
                <w:color w:val="000000" w:themeColor="text1"/>
                <w:szCs w:val="21"/>
              </w:rPr>
            </w:pPr>
            <w:r>
              <w:rPr>
                <w:rFonts w:ascii="宋体" w:hAnsi="宋体"/>
                <w:b/>
                <w:color w:val="000000" w:themeColor="text1"/>
                <w:szCs w:val="21"/>
              </w:rPr>
              <w:t>获取法律法规项，</w:t>
            </w:r>
            <w:r>
              <w:rPr>
                <w:rFonts w:ascii="MS Mincho" w:hAnsi="MS Mincho" w:eastAsia="MS Mincho" w:cs="MS Mincho"/>
                <w:b/>
                <w:color w:val="000000" w:themeColor="text1"/>
                <w:szCs w:val="21"/>
              </w:rPr>
              <w:t>☑</w:t>
            </w:r>
            <w:r>
              <w:rPr>
                <w:rFonts w:ascii="宋体" w:hAnsi="宋体"/>
                <w:b/>
                <w:color w:val="000000" w:themeColor="text1"/>
                <w:szCs w:val="21"/>
              </w:rPr>
              <w:t>法律法规获取充分，□法律法规获取有遗漏，缺少</w:t>
            </w:r>
          </w:p>
          <w:p>
            <w:pPr>
              <w:pStyle w:val="9"/>
              <w:widowControl w:val="0"/>
              <w:tabs>
                <w:tab w:val="left" w:pos="540"/>
              </w:tabs>
              <w:spacing w:line="300" w:lineRule="exact"/>
              <w:ind w:left="1" w:hanging="91"/>
              <w:rPr>
                <w:rFonts w:ascii="宋体" w:hAnsi="宋体"/>
                <w:b/>
                <w:color w:val="000000" w:themeColor="text1"/>
                <w:szCs w:val="21"/>
                <w:u w:val="single"/>
              </w:rPr>
            </w:pPr>
          </w:p>
          <w:p>
            <w:pPr>
              <w:pStyle w:val="23"/>
              <w:widowControl w:val="0"/>
              <w:numPr>
                <w:ilvl w:val="0"/>
                <w:numId w:val="2"/>
              </w:numPr>
              <w:tabs>
                <w:tab w:val="left" w:pos="540"/>
              </w:tabs>
              <w:spacing w:line="300" w:lineRule="exact"/>
              <w:ind w:firstLine="420"/>
              <w:rPr>
                <w:rFonts w:ascii="宋体" w:hAnsi="宋体"/>
                <w:b/>
                <w:color w:val="000000" w:themeColor="text1"/>
                <w:szCs w:val="21"/>
              </w:rPr>
            </w:pPr>
            <w:r>
              <w:rPr>
                <w:rFonts w:ascii="宋体" w:hAnsi="宋体"/>
                <w:b/>
                <w:color w:val="000000" w:themeColor="text1"/>
                <w:szCs w:val="21"/>
              </w:rPr>
              <w:t>结合公司的□产品/服务</w:t>
            </w:r>
            <w:r>
              <w:rPr>
                <w:rFonts w:ascii="MS Mincho" w:hAnsi="MS Mincho" w:eastAsia="MS Mincho" w:cs="MS Mincho"/>
                <w:b/>
                <w:color w:val="000000" w:themeColor="text1"/>
                <w:szCs w:val="21"/>
              </w:rPr>
              <w:t>☑</w:t>
            </w:r>
            <w:r>
              <w:rPr>
                <w:rFonts w:ascii="宋体" w:hAnsi="宋体"/>
                <w:b/>
                <w:color w:val="000000" w:themeColor="text1"/>
                <w:szCs w:val="21"/>
              </w:rPr>
              <w:t>环境因素</w:t>
            </w:r>
            <w:r>
              <w:rPr>
                <w:rFonts w:ascii="MS Mincho" w:hAnsi="MS Mincho" w:eastAsia="MS Mincho" w:cs="MS Mincho"/>
                <w:b/>
                <w:color w:val="000000" w:themeColor="text1"/>
                <w:szCs w:val="21"/>
              </w:rPr>
              <w:t>☑</w:t>
            </w:r>
            <w:r>
              <w:rPr>
                <w:rFonts w:ascii="宋体" w:hAnsi="宋体"/>
                <w:b/>
                <w:color w:val="000000" w:themeColor="text1"/>
                <w:szCs w:val="21"/>
              </w:rPr>
              <w:t>危险源，</w:t>
            </w:r>
            <w:r>
              <w:rPr>
                <w:rFonts w:ascii="MS Mincho" w:hAnsi="MS Mincho" w:eastAsia="MS Mincho" w:cs="MS Mincho"/>
                <w:b/>
                <w:color w:val="000000" w:themeColor="text1"/>
                <w:szCs w:val="21"/>
              </w:rPr>
              <w:t>☑</w:t>
            </w:r>
            <w:r>
              <w:rPr>
                <w:rFonts w:ascii="宋体" w:hAnsi="宋体"/>
                <w:b/>
                <w:color w:val="000000" w:themeColor="text1"/>
                <w:szCs w:val="21"/>
              </w:rPr>
              <w:t>确定 □未确定法律法规要求的具体条款，</w:t>
            </w:r>
          </w:p>
          <w:p>
            <w:pPr>
              <w:pStyle w:val="23"/>
              <w:widowControl w:val="0"/>
              <w:numPr>
                <w:ilvl w:val="0"/>
                <w:numId w:val="2"/>
              </w:numPr>
              <w:tabs>
                <w:tab w:val="left" w:pos="540"/>
              </w:tabs>
              <w:spacing w:line="300" w:lineRule="exact"/>
              <w:ind w:firstLine="420"/>
              <w:rPr>
                <w:rFonts w:ascii="宋体" w:hAnsi="宋体"/>
                <w:b/>
                <w:color w:val="000000" w:themeColor="text1"/>
                <w:szCs w:val="21"/>
              </w:rPr>
            </w:pPr>
            <w:r>
              <w:rPr>
                <w:rFonts w:ascii="宋体" w:hAnsi="宋体"/>
                <w:b/>
                <w:color w:val="000000" w:themeColor="text1"/>
                <w:szCs w:val="21"/>
              </w:rPr>
              <w:t>法律法规的宣传方式：</w:t>
            </w:r>
            <w:r>
              <w:rPr>
                <w:rFonts w:ascii="宋体" w:hAnsi="宋体"/>
                <w:szCs w:val="21"/>
                <w:u w:val="single"/>
              </w:rPr>
              <w:t>公司通过培训、文件、会议等方式向有关员工传达法律、法规及其它要求的相关要求</w:t>
            </w:r>
          </w:p>
          <w:p>
            <w:pPr>
              <w:pStyle w:val="23"/>
              <w:widowControl w:val="0"/>
              <w:numPr>
                <w:ilvl w:val="0"/>
                <w:numId w:val="2"/>
              </w:numPr>
              <w:tabs>
                <w:tab w:val="left" w:pos="540"/>
              </w:tabs>
              <w:spacing w:line="300" w:lineRule="exact"/>
              <w:ind w:firstLine="420"/>
              <w:rPr>
                <w:rFonts w:ascii="宋体" w:hAnsi="宋体"/>
                <w:b/>
                <w:color w:val="000000" w:themeColor="text1"/>
                <w:szCs w:val="21"/>
              </w:rPr>
            </w:pPr>
            <w:r>
              <w:rPr>
                <w:rFonts w:ascii="宋体" w:hAnsi="宋体"/>
                <w:b/>
                <w:color w:val="000000" w:themeColor="text1"/>
                <w:szCs w:val="21"/>
              </w:rPr>
              <w:t>法律法规要求及时更新了</w:t>
            </w:r>
            <w:r>
              <w:rPr>
                <w:rFonts w:ascii="宋体" w:hAnsi="宋体"/>
                <w:szCs w:val="21"/>
                <w:u w:val="single"/>
              </w:rPr>
              <w:t>为最新版本，每年更新一次</w:t>
            </w:r>
          </w:p>
          <w:p>
            <w:pPr>
              <w:pStyle w:val="9"/>
              <w:widowControl w:val="0"/>
              <w:tabs>
                <w:tab w:val="left" w:pos="0"/>
              </w:tabs>
              <w:spacing w:line="240" w:lineRule="exact"/>
              <w:rPr>
                <w:b/>
                <w:color w:val="000000" w:themeColor="text1"/>
                <w:sz w:val="14"/>
                <w:szCs w:val="14"/>
              </w:rPr>
            </w:pPr>
          </w:p>
        </w:tc>
      </w:tr>
      <w:tr>
        <w:tblPrEx>
          <w:tblCellMar>
            <w:top w:w="0" w:type="dxa"/>
            <w:left w:w="108" w:type="dxa"/>
            <w:bottom w:w="0" w:type="dxa"/>
            <w:right w:w="108" w:type="dxa"/>
          </w:tblCellMar>
        </w:tblPrEx>
        <w:trPr>
          <w:cantSplit/>
          <w:trHeight w:val="221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300" w:lineRule="exact"/>
              <w:rPr>
                <w:rFonts w:ascii="宋体" w:hAnsi="宋体"/>
                <w:b/>
                <w:color w:val="000000" w:themeColor="text1"/>
                <w:szCs w:val="21"/>
              </w:rPr>
            </w:pPr>
            <w:r>
              <w:rPr>
                <w:b/>
                <w:color w:val="000000" w:themeColor="text1"/>
                <w:szCs w:val="21"/>
              </w:rPr>
              <w:t xml:space="preserve">5. </w:t>
            </w:r>
            <w:r>
              <w:rPr>
                <w:rFonts w:ascii="宋体" w:hAnsi="宋体"/>
                <w:b/>
                <w:color w:val="000000" w:themeColor="text1"/>
                <w:szCs w:val="21"/>
              </w:rPr>
              <w:t>目标、方案</w:t>
            </w:r>
          </w:p>
          <w:p>
            <w:pPr>
              <w:pStyle w:val="9"/>
              <w:widowControl w:val="0"/>
              <w:spacing w:line="300" w:lineRule="exact"/>
              <w:rPr>
                <w:rFonts w:ascii="宋体" w:hAnsi="宋体"/>
                <w:b/>
                <w:color w:val="000000" w:themeColor="text1"/>
                <w:sz w:val="20"/>
                <w:szCs w:val="20"/>
              </w:rPr>
            </w:pPr>
            <w:r>
              <w:rPr>
                <w:b/>
                <w:color w:val="000000" w:themeColor="text1"/>
                <w:sz w:val="20"/>
                <w:szCs w:val="20"/>
              </w:rPr>
              <w:t>（</w:t>
            </w:r>
            <w:r>
              <w:rPr>
                <w:rFonts w:ascii="宋体" w:hAnsi="宋体"/>
                <w:b/>
                <w:color w:val="000000" w:themeColor="text1"/>
                <w:spacing w:val="-4"/>
                <w:sz w:val="20"/>
                <w:szCs w:val="20"/>
              </w:rPr>
              <w:t>在相关层次上建立</w:t>
            </w:r>
            <w:r>
              <w:rPr>
                <w:rFonts w:ascii="宋体" w:hAnsi="宋体"/>
                <w:b/>
                <w:color w:val="000000" w:themeColor="text1"/>
                <w:sz w:val="20"/>
                <w:szCs w:val="20"/>
              </w:rPr>
              <w:t>可测量的目标，目标、方案的有效性，对质量目标的实现情况进行评价并叙述测量方法）</w:t>
            </w:r>
          </w:p>
          <w:p>
            <w:pPr>
              <w:spacing w:line="280" w:lineRule="exact"/>
              <w:ind w:leftChars="200"/>
              <w:jc w:val="left"/>
              <w:rPr>
                <w:rFonts w:hint="eastAsia" w:cs="宋体" w:asciiTheme="minorEastAsia" w:hAnsiTheme="minorEastAsia" w:eastAsiaTheme="minorEastAsia"/>
                <w:szCs w:val="21"/>
              </w:rPr>
            </w:pPr>
            <w:r>
              <w:rPr>
                <w:rFonts w:cs="宋体" w:asciiTheme="minorEastAsia" w:hAnsiTheme="minorEastAsia" w:eastAsiaTheme="minorEastAsia"/>
                <w:szCs w:val="21"/>
              </w:rPr>
              <w:t>质量目标：</w:t>
            </w:r>
          </w:p>
          <w:p>
            <w:pPr>
              <w:spacing w:line="280" w:lineRule="exact"/>
              <w:ind w:leftChars="20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1、顾客满意度≥ 93分； 2、商品符合合同要求 合格率≥98%。</w:t>
            </w:r>
          </w:p>
          <w:p>
            <w:pPr>
              <w:spacing w:line="280" w:lineRule="exact"/>
              <w:ind w:leftChars="200"/>
              <w:jc w:val="left"/>
              <w:rPr>
                <w:rFonts w:hint="eastAsia" w:cs="宋体" w:asciiTheme="minorEastAsia" w:hAnsiTheme="minorEastAsia" w:eastAsiaTheme="minorEastAsia"/>
                <w:szCs w:val="21"/>
              </w:rPr>
            </w:pPr>
            <w:bookmarkStart w:id="21" w:name="OLE_LINK2"/>
            <w:bookmarkStart w:id="22" w:name="OLE_LINK3"/>
            <w:r>
              <w:rPr>
                <w:rFonts w:hint="eastAsia" w:cs="宋体" w:asciiTheme="minorEastAsia" w:hAnsiTheme="minorEastAsia" w:eastAsiaTheme="minorEastAsia"/>
                <w:szCs w:val="21"/>
              </w:rPr>
              <w:t>环境目标：</w:t>
            </w:r>
          </w:p>
          <w:p>
            <w:pPr>
              <w:spacing w:line="280" w:lineRule="exact"/>
              <w:ind w:left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1、固体弃物有效处置率100％；2、杜绝火灾事故；3、重大环境污染事故为零。</w:t>
            </w:r>
          </w:p>
          <w:p>
            <w:pPr>
              <w:spacing w:line="280" w:lineRule="exact"/>
              <w:ind w:leftChars="200"/>
              <w:jc w:val="left"/>
              <w:rPr>
                <w:rFonts w:cs="宋体" w:asciiTheme="minorEastAsia" w:hAnsiTheme="minorEastAsia" w:eastAsiaTheme="minorEastAsia"/>
                <w:szCs w:val="21"/>
              </w:rPr>
            </w:pPr>
            <w:r>
              <w:rPr>
                <w:rFonts w:cs="宋体" w:asciiTheme="minorEastAsia" w:hAnsiTheme="minorEastAsia" w:eastAsiaTheme="minorEastAsia"/>
                <w:szCs w:val="21"/>
              </w:rPr>
              <w:t>职业健康安全目标：</w:t>
            </w:r>
          </w:p>
          <w:p>
            <w:pPr>
              <w:spacing w:line="280" w:lineRule="exact"/>
              <w:ind w:leftChars="200"/>
              <w:jc w:val="left"/>
              <w:rPr>
                <w:rFonts w:hint="eastAsia" w:cs="宋体" w:asciiTheme="minorEastAsia" w:hAnsiTheme="minorEastAsia" w:eastAsiaTheme="minorEastAsia"/>
                <w:szCs w:val="21"/>
              </w:rPr>
            </w:pPr>
            <w:r>
              <w:rPr>
                <w:rFonts w:cs="宋体" w:asciiTheme="minorEastAsia" w:hAnsiTheme="minorEastAsia" w:eastAsiaTheme="minorEastAsia"/>
                <w:szCs w:val="21"/>
              </w:rPr>
              <w:t>1、火灾发生次数为0次/每年</w:t>
            </w:r>
            <w:r>
              <w:rPr>
                <w:rFonts w:hint="eastAsia" w:cs="宋体" w:asciiTheme="minorEastAsia" w:hAnsiTheme="minorEastAsia" w:eastAsiaTheme="minorEastAsia"/>
                <w:szCs w:val="21"/>
                <w:lang w:eastAsia="zh-CN"/>
              </w:rPr>
              <w:t>；</w:t>
            </w:r>
            <w:r>
              <w:rPr>
                <w:rFonts w:cs="宋体" w:asciiTheme="minorEastAsia" w:hAnsiTheme="minorEastAsia" w:eastAsiaTheme="minorEastAsia"/>
                <w:szCs w:val="21"/>
              </w:rPr>
              <w:t>2、</w:t>
            </w:r>
            <w:bookmarkEnd w:id="21"/>
            <w:bookmarkEnd w:id="22"/>
            <w:r>
              <w:rPr>
                <w:rFonts w:hint="eastAsia" w:cs="宋体" w:asciiTheme="minorEastAsia" w:hAnsiTheme="minorEastAsia" w:eastAsiaTheme="minorEastAsia"/>
                <w:szCs w:val="21"/>
              </w:rPr>
              <w:t>员工意外伤害为0</w:t>
            </w:r>
          </w:p>
          <w:p>
            <w:pPr>
              <w:pStyle w:val="23"/>
              <w:widowControl w:val="0"/>
              <w:rPr>
                <w:szCs w:val="22"/>
              </w:rPr>
            </w:pPr>
            <w:r>
              <w:rPr>
                <w:szCs w:val="22"/>
              </w:rPr>
              <w:t>提供各部门质量目标完成情况统计记录、各部门安全指标分解实现统计表、各部门环境指标分解实现统计表等。目标已分解到各部门，有目标实现的措施和资源、考核方式、考核周期等要求。</w:t>
            </w:r>
          </w:p>
          <w:p>
            <w:pPr>
              <w:pStyle w:val="9"/>
              <w:widowControl w:val="0"/>
              <w:spacing w:line="240" w:lineRule="exact"/>
              <w:rPr>
                <w:rFonts w:ascii="宋体" w:hAnsi="宋体"/>
                <w:b/>
                <w:color w:val="000000" w:themeColor="text1"/>
              </w:rPr>
            </w:pPr>
          </w:p>
        </w:tc>
      </w:tr>
      <w:tr>
        <w:tblPrEx>
          <w:tblCellMar>
            <w:top w:w="0" w:type="dxa"/>
            <w:left w:w="108" w:type="dxa"/>
            <w:bottom w:w="0" w:type="dxa"/>
            <w:right w:w="108" w:type="dxa"/>
          </w:tblCellMar>
        </w:tblPrEx>
        <w:trPr>
          <w:cantSplit/>
          <w:trHeight w:val="92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rFonts w:ascii="宋体" w:hAnsi="宋体"/>
                <w:b/>
                <w:color w:val="000000" w:themeColor="text1"/>
                <w:sz w:val="20"/>
                <w:szCs w:val="20"/>
              </w:rPr>
            </w:pPr>
            <w:r>
              <w:rPr>
                <w:b/>
                <w:color w:val="000000" w:themeColor="text1"/>
                <w:sz w:val="20"/>
                <w:szCs w:val="20"/>
              </w:rPr>
              <w:t>6. 文件与记录控制 (</w:t>
            </w:r>
            <w:r>
              <w:rPr>
                <w:rFonts w:ascii="宋体" w:hAnsi="宋体"/>
                <w:b/>
                <w:color w:val="000000" w:themeColor="text1"/>
                <w:sz w:val="20"/>
                <w:szCs w:val="20"/>
              </w:rPr>
              <w:t>文审修订后文件与标准的符合程度评价、</w:t>
            </w:r>
            <w:r>
              <w:rPr>
                <w:rFonts w:ascii="宋体" w:hAnsi="宋体"/>
                <w:b/>
                <w:color w:val="000000" w:themeColor="text1"/>
                <w:spacing w:val="-4"/>
                <w:sz w:val="20"/>
                <w:szCs w:val="20"/>
              </w:rPr>
              <w:t>文件</w:t>
            </w:r>
            <w:r>
              <w:rPr>
                <w:rFonts w:ascii="宋体" w:hAnsi="宋体"/>
                <w:b/>
                <w:color w:val="000000" w:themeColor="text1"/>
                <w:sz w:val="20"/>
                <w:szCs w:val="20"/>
              </w:rPr>
              <w:t>控制管理等)</w:t>
            </w:r>
          </w:p>
          <w:p>
            <w:pPr>
              <w:pStyle w:val="9"/>
              <w:widowControl w:val="0"/>
              <w:spacing w:line="480" w:lineRule="auto"/>
              <w:ind w:firstLine="420"/>
              <w:rPr>
                <w:rFonts w:ascii="宋体" w:hAnsi="宋体"/>
                <w:b/>
                <w:color w:val="000000" w:themeColor="text1"/>
                <w:sz w:val="20"/>
                <w:szCs w:val="20"/>
              </w:rPr>
            </w:pPr>
            <w:r>
              <w:rPr>
                <w:szCs w:val="22"/>
              </w:rPr>
              <w:t>体系文件符合公司要求，文件和记录管理控制符合标准要求。</w:t>
            </w:r>
          </w:p>
        </w:tc>
      </w:tr>
      <w:tr>
        <w:tblPrEx>
          <w:tblCellMar>
            <w:top w:w="0" w:type="dxa"/>
            <w:left w:w="108" w:type="dxa"/>
            <w:bottom w:w="0" w:type="dxa"/>
            <w:right w:w="108" w:type="dxa"/>
          </w:tblCellMar>
        </w:tblPrEx>
        <w:trPr>
          <w:cantSplit/>
          <w:trHeight w:val="1126"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extDirection w:val="tbRl"/>
            <w:vAlign w:val="center"/>
          </w:tcPr>
          <w:p>
            <w:pPr>
              <w:pStyle w:val="9"/>
              <w:widowControl w:val="0"/>
              <w:spacing w:line="240" w:lineRule="exact"/>
              <w:ind w:left="113" w:right="113" w:firstLine="0"/>
              <w:jc w:val="center"/>
              <w:rPr>
                <w:b/>
                <w:color w:val="000000" w:themeColor="text1"/>
                <w:szCs w:val="21"/>
              </w:rPr>
            </w:pPr>
            <w:r>
              <w:rPr>
                <w:rFonts w:ascii="宋体" w:hAnsi="宋体"/>
                <w:b/>
                <w:color w:val="000000" w:themeColor="text1"/>
                <w:szCs w:val="21"/>
              </w:rPr>
              <w:t>(二)资源评价</w:t>
            </w: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300" w:lineRule="exact"/>
              <w:rPr>
                <w:b/>
                <w:color w:val="000000" w:themeColor="text1"/>
                <w:sz w:val="20"/>
                <w:szCs w:val="20"/>
              </w:rPr>
            </w:pPr>
            <w:r>
              <w:rPr>
                <w:rFonts w:ascii="宋体" w:hAnsi="宋体"/>
                <w:b/>
                <w:color w:val="000000" w:themeColor="text1"/>
                <w:sz w:val="20"/>
                <w:szCs w:val="20"/>
              </w:rPr>
              <w:t>人力资源的简要说明</w:t>
            </w:r>
            <w:r>
              <w:rPr>
                <w:b/>
                <w:color w:val="000000" w:themeColor="text1"/>
                <w:sz w:val="20"/>
                <w:szCs w:val="20"/>
              </w:rPr>
              <w:t>.</w:t>
            </w:r>
            <w:r>
              <w:rPr>
                <w:rFonts w:ascii="宋体" w:hAnsi="宋体"/>
                <w:b/>
                <w:color w:val="000000" w:themeColor="text1"/>
                <w:sz w:val="20"/>
                <w:szCs w:val="20"/>
              </w:rPr>
              <w:t>:</w:t>
            </w:r>
          </w:p>
          <w:p>
            <w:pPr>
              <w:pStyle w:val="9"/>
              <w:widowControl w:val="0"/>
              <w:ind w:firstLine="420"/>
              <w:jc w:val="left"/>
              <w:rPr>
                <w:szCs w:val="22"/>
              </w:rPr>
            </w:pPr>
            <w:r>
              <w:rPr>
                <w:szCs w:val="22"/>
              </w:rPr>
              <w:t>编制了</w:t>
            </w:r>
            <w:r>
              <w:rPr>
                <w:rFonts w:hint="eastAsia" w:cs="宋体" w:asciiTheme="minorEastAsia" w:hAnsiTheme="minorEastAsia" w:eastAsiaTheme="minorEastAsia"/>
                <w:szCs w:val="21"/>
              </w:rPr>
              <w:t>岗位职务能力要求及评定</w:t>
            </w:r>
            <w:r>
              <w:rPr>
                <w:szCs w:val="22"/>
              </w:rPr>
              <w:t>，制定培训计划，定期组织相关培训，主要是</w:t>
            </w:r>
            <w:r>
              <w:rPr>
                <w:rFonts w:hint="eastAsia" w:cs="宋体" w:asciiTheme="minorEastAsia" w:hAnsiTheme="minorEastAsia" w:eastAsiaTheme="minorEastAsia"/>
                <w:szCs w:val="21"/>
                <w:lang w:val="en-US" w:eastAsia="zh-CN"/>
              </w:rPr>
              <w:t>标准、</w:t>
            </w:r>
            <w:r>
              <w:rPr>
                <w:rFonts w:hint="eastAsia" w:cs="宋体" w:asciiTheme="minorEastAsia" w:hAnsiTheme="minorEastAsia" w:eastAsiaTheme="minorEastAsia"/>
                <w:szCs w:val="21"/>
              </w:rPr>
              <w:t>销售技巧培训</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环境、安全支持性文件、管理制度培训</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环境因素危险源的识别、评价与控制培训</w:t>
            </w:r>
            <w:r>
              <w:rPr>
                <w:szCs w:val="22"/>
              </w:rPr>
              <w:t>。</w:t>
            </w:r>
          </w:p>
          <w:p>
            <w:pPr>
              <w:spacing w:line="280" w:lineRule="exact"/>
              <w:ind w:firstLine="422" w:firstLineChars="200"/>
              <w:rPr>
                <w:rFonts w:hint="default" w:eastAsia="宋体"/>
                <w:szCs w:val="22"/>
                <w:lang w:val="en-US" w:eastAsia="zh-CN"/>
              </w:rPr>
            </w:pPr>
            <w:r>
              <w:rPr>
                <w:rFonts w:hint="eastAsia" w:cs="宋体" w:asciiTheme="minorEastAsia" w:hAnsiTheme="minorEastAsia" w:eastAsiaTheme="minorEastAsia"/>
                <w:b/>
                <w:bCs/>
                <w:color w:val="auto"/>
                <w:szCs w:val="21"/>
                <w:lang w:val="en-US" w:eastAsia="zh-CN"/>
              </w:rPr>
              <w:t>未提供出采购部经理任职评价合格相关证据。</w:t>
            </w:r>
            <w:r>
              <w:rPr>
                <w:rFonts w:hint="eastAsia"/>
                <w:szCs w:val="22"/>
                <w:lang w:val="en-US" w:eastAsia="zh-CN"/>
              </w:rPr>
              <w:t>已提出书面问题，见不符合项报告及纠正措施表。</w:t>
            </w:r>
          </w:p>
          <w:p>
            <w:pPr>
              <w:pStyle w:val="9"/>
              <w:widowControl w:val="0"/>
              <w:spacing w:line="300" w:lineRule="exact"/>
              <w:rPr>
                <w:rFonts w:ascii="宋体" w:hAnsi="宋体"/>
                <w:b/>
                <w:color w:val="000000" w:themeColor="text1"/>
                <w:sz w:val="20"/>
                <w:szCs w:val="20"/>
              </w:rPr>
            </w:pPr>
          </w:p>
        </w:tc>
      </w:tr>
      <w:tr>
        <w:tblPrEx>
          <w:tblCellMar>
            <w:top w:w="0" w:type="dxa"/>
            <w:left w:w="108" w:type="dxa"/>
            <w:bottom w:w="0" w:type="dxa"/>
            <w:right w:w="108" w:type="dxa"/>
          </w:tblCellMar>
        </w:tblPrEx>
        <w:trPr>
          <w:cantSplit/>
          <w:trHeight w:val="64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9"/>
              <w:widowControl w:val="0"/>
              <w:spacing w:line="240" w:lineRule="exact"/>
              <w:ind w:left="113" w:right="113" w:firstLine="0"/>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rFonts w:ascii="宋体" w:hAnsi="宋体"/>
                <w:b/>
                <w:color w:val="000000" w:themeColor="text1"/>
                <w:sz w:val="20"/>
                <w:szCs w:val="20"/>
              </w:rPr>
            </w:pPr>
            <w:r>
              <w:rPr>
                <w:rFonts w:ascii="宋体" w:hAnsi="宋体"/>
                <w:b/>
                <w:color w:val="000000" w:themeColor="text1"/>
                <w:sz w:val="20"/>
                <w:szCs w:val="20"/>
              </w:rPr>
              <w:t>设备设施（包括信息系统）、</w:t>
            </w:r>
          </w:p>
          <w:p>
            <w:pPr>
              <w:pStyle w:val="9"/>
              <w:widowControl w:val="0"/>
              <w:ind w:firstLine="420"/>
              <w:rPr>
                <w:szCs w:val="22"/>
              </w:rPr>
            </w:pPr>
            <w:r>
              <w:rPr>
                <w:rFonts w:ascii="宋体" w:hAnsi="宋体" w:cs="Arial"/>
                <w:szCs w:val="21"/>
              </w:rPr>
              <w:t>办公</w:t>
            </w:r>
            <w:r>
              <w:rPr>
                <w:rFonts w:hint="eastAsia" w:ascii="宋体" w:hAnsi="宋体" w:cs="Arial"/>
                <w:szCs w:val="21"/>
                <w:lang w:val="en-US" w:eastAsia="zh-CN"/>
              </w:rPr>
              <w:t>用品</w:t>
            </w:r>
            <w:r>
              <w:rPr>
                <w:rFonts w:ascii="宋体" w:hAnsi="宋体" w:cs="Arial"/>
                <w:szCs w:val="21"/>
              </w:rPr>
              <w:t>有</w:t>
            </w:r>
            <w:r>
              <w:rPr>
                <w:rFonts w:hint="eastAsia" w:ascii="宋体" w:hAnsi="宋体" w:eastAsia="宋体" w:cs="Arial"/>
                <w:szCs w:val="21"/>
              </w:rPr>
              <w:t>电脑</w:t>
            </w:r>
            <w:r>
              <w:rPr>
                <w:rFonts w:hint="eastAsia" w:ascii="宋体" w:hAnsi="宋体" w:eastAsia="宋体" w:cs="Arial"/>
                <w:szCs w:val="21"/>
                <w:lang w:eastAsia="zh-CN"/>
              </w:rPr>
              <w:t>、</w:t>
            </w:r>
            <w:r>
              <w:rPr>
                <w:rFonts w:hint="eastAsia" w:ascii="宋体" w:hAnsi="宋体" w:eastAsia="宋体" w:cs="Arial"/>
                <w:szCs w:val="21"/>
              </w:rPr>
              <w:t>打印机</w:t>
            </w:r>
            <w:r>
              <w:rPr>
                <w:rFonts w:hint="eastAsia" w:ascii="宋体" w:hAnsi="宋体" w:eastAsia="宋体" w:cs="Arial"/>
                <w:szCs w:val="21"/>
                <w:lang w:eastAsia="zh-CN"/>
              </w:rPr>
              <w:t>、</w:t>
            </w:r>
            <w:r>
              <w:rPr>
                <w:rFonts w:hint="eastAsia" w:ascii="宋体" w:hAnsi="宋体" w:eastAsia="宋体" w:cs="Arial"/>
                <w:szCs w:val="21"/>
              </w:rPr>
              <w:t>复印机</w:t>
            </w:r>
            <w:r>
              <w:rPr>
                <w:rFonts w:hint="eastAsia" w:ascii="宋体" w:hAnsi="宋体" w:eastAsia="宋体" w:cs="Arial"/>
                <w:szCs w:val="21"/>
                <w:lang w:eastAsia="zh-CN"/>
              </w:rPr>
              <w:t>、</w:t>
            </w:r>
            <w:r>
              <w:rPr>
                <w:rFonts w:hint="eastAsia" w:ascii="宋体" w:hAnsi="宋体" w:eastAsia="宋体" w:cs="Arial"/>
                <w:szCs w:val="21"/>
              </w:rPr>
              <w:t>电话机</w:t>
            </w:r>
            <w:r>
              <w:rPr>
                <w:rFonts w:hint="eastAsia" w:ascii="宋体" w:hAnsi="宋体" w:eastAsia="宋体" w:cs="Arial"/>
                <w:szCs w:val="21"/>
                <w:lang w:eastAsia="zh-CN"/>
              </w:rPr>
              <w:t>、</w:t>
            </w:r>
            <w:r>
              <w:rPr>
                <w:rFonts w:hint="eastAsia" w:ascii="宋体" w:hAnsi="宋体" w:eastAsia="宋体" w:cs="Arial"/>
                <w:szCs w:val="21"/>
              </w:rPr>
              <w:t>扫描机</w:t>
            </w:r>
            <w:r>
              <w:rPr>
                <w:rFonts w:ascii="宋体" w:hAnsi="宋体" w:eastAsia="宋体" w:cs="Arial"/>
                <w:szCs w:val="21"/>
              </w:rPr>
              <w:t>，</w:t>
            </w:r>
            <w:r>
              <w:rPr>
                <w:rFonts w:hint="eastAsia" w:ascii="宋体" w:hAnsi="宋体" w:eastAsia="宋体" w:cs="Arial"/>
                <w:szCs w:val="21"/>
                <w:lang w:val="en-US" w:eastAsia="zh-CN"/>
              </w:rPr>
              <w:t>建立</w:t>
            </w:r>
            <w:r>
              <w:rPr>
                <w:rFonts w:ascii="宋体" w:hAnsi="宋体" w:cs="Arial"/>
                <w:szCs w:val="21"/>
              </w:rPr>
              <w:t>台帐，有独立的办公区域</w:t>
            </w:r>
            <w:r>
              <w:rPr>
                <w:rFonts w:hint="eastAsia" w:ascii="宋体" w:hAnsi="宋体" w:cs="Arial"/>
                <w:szCs w:val="21"/>
                <w:lang w:eastAsia="zh-CN"/>
              </w:rPr>
              <w:t>、</w:t>
            </w:r>
            <w:r>
              <w:rPr>
                <w:rFonts w:hint="eastAsia" w:ascii="宋体" w:hAnsi="宋体" w:cs="Arial"/>
                <w:szCs w:val="21"/>
                <w:lang w:val="en-US" w:eastAsia="zh-CN"/>
              </w:rPr>
              <w:t>接待室、产品</w:t>
            </w:r>
            <w:r>
              <w:rPr>
                <w:rFonts w:ascii="宋体" w:hAnsi="宋体" w:cs="Arial"/>
                <w:szCs w:val="21"/>
              </w:rPr>
              <w:t>贮存场所</w:t>
            </w:r>
            <w:r>
              <w:rPr>
                <w:szCs w:val="22"/>
              </w:rPr>
              <w:t>。</w:t>
            </w:r>
          </w:p>
          <w:p>
            <w:pPr>
              <w:pStyle w:val="9"/>
              <w:widowControl w:val="0"/>
              <w:spacing w:line="240" w:lineRule="exact"/>
              <w:rPr>
                <w:rFonts w:ascii="宋体" w:hAnsi="宋体"/>
                <w:b/>
                <w:color w:val="000000" w:themeColor="text1"/>
                <w:sz w:val="20"/>
                <w:szCs w:val="20"/>
              </w:rPr>
            </w:pPr>
          </w:p>
        </w:tc>
      </w:tr>
      <w:tr>
        <w:tblPrEx>
          <w:tblCellMar>
            <w:top w:w="0" w:type="dxa"/>
            <w:left w:w="108" w:type="dxa"/>
            <w:bottom w:w="0" w:type="dxa"/>
            <w:right w:w="108" w:type="dxa"/>
          </w:tblCellMar>
        </w:tblPrEx>
        <w:trPr>
          <w:cantSplit/>
          <w:trHeight w:val="64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9"/>
              <w:widowControl w:val="0"/>
              <w:spacing w:line="240" w:lineRule="exact"/>
              <w:ind w:left="113" w:right="113" w:firstLine="0"/>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rFonts w:ascii="宋体" w:hAnsi="宋体"/>
                <w:b/>
                <w:color w:val="000000" w:themeColor="text1"/>
                <w:sz w:val="20"/>
                <w:szCs w:val="20"/>
              </w:rPr>
            </w:pPr>
            <w:r>
              <w:rPr>
                <w:rFonts w:ascii="宋体" w:hAnsi="宋体"/>
                <w:b/>
                <w:color w:val="000000" w:themeColor="text1"/>
                <w:sz w:val="20"/>
                <w:szCs w:val="20"/>
              </w:rPr>
              <w:t>过程运行环境</w:t>
            </w:r>
          </w:p>
          <w:p>
            <w:pPr>
              <w:pStyle w:val="9"/>
              <w:widowControl w:val="0"/>
              <w:ind w:firstLine="420"/>
              <w:rPr>
                <w:szCs w:val="22"/>
              </w:rPr>
            </w:pPr>
            <w:r>
              <w:rPr>
                <w:szCs w:val="22"/>
              </w:rPr>
              <w:t>办公场所空间较宽敞、光线较明亮，各现场环境整洁</w:t>
            </w:r>
            <w:r>
              <w:rPr>
                <w:rFonts w:hint="eastAsia"/>
                <w:szCs w:val="22"/>
                <w:lang w:eastAsia="zh-CN"/>
              </w:rPr>
              <w:t>、</w:t>
            </w:r>
            <w:r>
              <w:rPr>
                <w:rFonts w:hint="eastAsia"/>
                <w:szCs w:val="22"/>
                <w:lang w:val="en-US" w:eastAsia="zh-CN"/>
              </w:rPr>
              <w:t>安全</w:t>
            </w:r>
            <w:r>
              <w:rPr>
                <w:szCs w:val="22"/>
              </w:rPr>
              <w:t>；</w:t>
            </w:r>
          </w:p>
          <w:p>
            <w:pPr>
              <w:pStyle w:val="9"/>
              <w:widowControl w:val="0"/>
              <w:ind w:firstLine="420"/>
              <w:rPr>
                <w:szCs w:val="22"/>
              </w:rPr>
            </w:pPr>
            <w:r>
              <w:rPr>
                <w:rFonts w:hint="eastAsia"/>
                <w:szCs w:val="22"/>
                <w:lang w:eastAsia="zh-CN"/>
              </w:rPr>
              <w:t>钢质防火门、防盗门销售</w:t>
            </w:r>
            <w:r>
              <w:rPr>
                <w:rFonts w:hint="eastAsia"/>
                <w:szCs w:val="22"/>
                <w:lang w:val="en-US" w:eastAsia="zh-CN"/>
              </w:rPr>
              <w:t>对环境没有特殊要求</w:t>
            </w:r>
            <w:r>
              <w:rPr>
                <w:szCs w:val="22"/>
              </w:rPr>
              <w:t>。</w:t>
            </w:r>
          </w:p>
          <w:p>
            <w:pPr>
              <w:pStyle w:val="9"/>
              <w:widowControl w:val="0"/>
              <w:spacing w:line="240" w:lineRule="exact"/>
              <w:rPr>
                <w:rFonts w:ascii="宋体" w:hAnsi="宋体"/>
                <w:b/>
                <w:color w:val="000000" w:themeColor="text1"/>
                <w:sz w:val="20"/>
                <w:szCs w:val="20"/>
              </w:rPr>
            </w:pPr>
          </w:p>
        </w:tc>
      </w:tr>
      <w:tr>
        <w:tblPrEx>
          <w:tblCellMar>
            <w:top w:w="0" w:type="dxa"/>
            <w:left w:w="108" w:type="dxa"/>
            <w:bottom w:w="0" w:type="dxa"/>
            <w:right w:w="108" w:type="dxa"/>
          </w:tblCellMar>
        </w:tblPrEx>
        <w:trPr>
          <w:cantSplit/>
          <w:trHeight w:val="64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9"/>
              <w:widowControl w:val="0"/>
              <w:spacing w:line="240" w:lineRule="exact"/>
              <w:ind w:left="113" w:right="113" w:firstLine="0"/>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rFonts w:ascii="宋体" w:hAnsi="宋体"/>
                <w:b/>
                <w:color w:val="000000" w:themeColor="text1"/>
                <w:sz w:val="20"/>
                <w:szCs w:val="20"/>
              </w:rPr>
            </w:pPr>
            <w:r>
              <w:rPr>
                <w:rFonts w:ascii="宋体" w:hAnsi="宋体"/>
                <w:b/>
                <w:color w:val="000000" w:themeColor="text1"/>
                <w:sz w:val="20"/>
                <w:szCs w:val="20"/>
              </w:rPr>
              <w:t>监视和测量资源</w:t>
            </w:r>
          </w:p>
          <w:p>
            <w:pPr>
              <w:pStyle w:val="9"/>
              <w:widowControl w:val="0"/>
              <w:ind w:firstLine="420"/>
              <w:rPr>
                <w:rFonts w:hint="default" w:ascii="宋体" w:hAnsi="宋体"/>
                <w:b/>
                <w:color w:val="000000" w:themeColor="text1"/>
                <w:sz w:val="20"/>
                <w:szCs w:val="20"/>
                <w:lang w:val="en-US"/>
              </w:rPr>
            </w:pPr>
            <w:r>
              <w:rPr>
                <w:rFonts w:hint="eastAsia" w:cs="Times New Roman"/>
                <w:szCs w:val="22"/>
                <w:lang w:val="en-US" w:eastAsia="zh-CN"/>
              </w:rPr>
              <w:t>建立监视和测量</w:t>
            </w:r>
            <w:r>
              <w:rPr>
                <w:rFonts w:hint="eastAsia" w:ascii="Times New Roman" w:hAnsi="Times New Roman" w:cs="Times New Roman"/>
                <w:szCs w:val="22"/>
                <w:lang w:val="en-US" w:eastAsia="zh-CN"/>
              </w:rPr>
              <w:t>设备</w:t>
            </w:r>
            <w:r>
              <w:rPr>
                <w:rFonts w:hint="eastAsia" w:cs="Times New Roman"/>
                <w:szCs w:val="22"/>
                <w:lang w:val="en-US" w:eastAsia="zh-CN"/>
              </w:rPr>
              <w:t>台帐</w:t>
            </w:r>
            <w:r>
              <w:rPr>
                <w:rFonts w:hint="eastAsia" w:ascii="Times New Roman" w:hAnsi="Times New Roman" w:cs="Times New Roman"/>
                <w:szCs w:val="22"/>
                <w:lang w:val="en-US" w:eastAsia="zh-CN"/>
              </w:rPr>
              <w:t>：防火门可靠性试验装置、抗压抗折试验机、防火门甲醛测定仪、电热鼓风干燥箱、电子天平、塞尺、游标卡尺等设备，现场观察无异常，并且有合格校准证书。</w:t>
            </w:r>
          </w:p>
        </w:tc>
      </w:tr>
      <w:tr>
        <w:tblPrEx>
          <w:tblCellMar>
            <w:top w:w="0" w:type="dxa"/>
            <w:left w:w="108" w:type="dxa"/>
            <w:bottom w:w="0" w:type="dxa"/>
            <w:right w:w="108" w:type="dxa"/>
          </w:tblCellMar>
        </w:tblPrEx>
        <w:trPr>
          <w:cantSplit/>
          <w:trHeight w:val="64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9"/>
              <w:widowControl w:val="0"/>
              <w:spacing w:line="240" w:lineRule="exact"/>
              <w:ind w:left="113" w:right="113" w:firstLine="0"/>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rFonts w:ascii="宋体" w:hAnsi="宋体"/>
                <w:b/>
                <w:color w:val="000000" w:themeColor="text1"/>
                <w:sz w:val="20"/>
                <w:szCs w:val="20"/>
              </w:rPr>
            </w:pPr>
            <w:r>
              <w:rPr>
                <w:rFonts w:ascii="宋体" w:hAnsi="宋体"/>
                <w:b/>
                <w:color w:val="000000" w:themeColor="text1"/>
                <w:sz w:val="20"/>
                <w:szCs w:val="20"/>
              </w:rPr>
              <w:t>知识</w:t>
            </w:r>
          </w:p>
          <w:p>
            <w:pPr>
              <w:pStyle w:val="9"/>
              <w:widowControl w:val="0"/>
              <w:spacing w:line="360" w:lineRule="auto"/>
              <w:ind w:right="-105" w:firstLine="420"/>
              <w:rPr>
                <w:rFonts w:hint="default" w:ascii="宋体" w:hAnsi="宋体"/>
                <w:b/>
                <w:color w:val="000000" w:themeColor="text1"/>
                <w:sz w:val="20"/>
                <w:szCs w:val="20"/>
                <w:lang w:val="en-US"/>
              </w:rPr>
            </w:pPr>
            <w:r>
              <w:rPr>
                <w:rFonts w:ascii="宋体" w:hAnsi="宋体" w:cs="Arial"/>
                <w:szCs w:val="21"/>
              </w:rPr>
              <w:t>公司按手册中组织知识要求进行知识控制，公司确定运行过程所需的知识及管理要求；</w:t>
            </w:r>
            <w:r>
              <w:rPr>
                <w:rFonts w:hint="eastAsia" w:ascii="宋体" w:hAnsi="宋体" w:cs="Arial"/>
                <w:szCs w:val="21"/>
                <w:lang w:val="en-US" w:eastAsia="zh-CN"/>
              </w:rPr>
              <w:t>明确</w:t>
            </w:r>
            <w:r>
              <w:rPr>
                <w:rFonts w:ascii="宋体" w:hAnsi="宋体" w:cs="Arial"/>
                <w:szCs w:val="21"/>
              </w:rPr>
              <w:t>内</w:t>
            </w:r>
            <w:r>
              <w:rPr>
                <w:rFonts w:hint="eastAsia" w:ascii="宋体" w:hAnsi="宋体" w:cs="Arial"/>
                <w:szCs w:val="21"/>
                <w:lang w:val="en-US" w:eastAsia="zh-CN"/>
              </w:rPr>
              <w:t>外</w:t>
            </w:r>
            <w:r>
              <w:rPr>
                <w:rFonts w:ascii="宋体" w:hAnsi="宋体" w:cs="Arial"/>
                <w:szCs w:val="21"/>
              </w:rPr>
              <w:t>部来源</w:t>
            </w:r>
            <w:r>
              <w:rPr>
                <w:rFonts w:hint="eastAsia" w:ascii="宋体" w:hAnsi="宋体" w:cs="Arial"/>
                <w:szCs w:val="21"/>
                <w:lang w:val="en-US" w:eastAsia="zh-CN"/>
              </w:rPr>
              <w:t>及管理要求，并按要求进行日常控制。</w:t>
            </w:r>
          </w:p>
        </w:tc>
      </w:tr>
      <w:tr>
        <w:tblPrEx>
          <w:tblCellMar>
            <w:top w:w="0" w:type="dxa"/>
            <w:left w:w="108" w:type="dxa"/>
            <w:bottom w:w="0" w:type="dxa"/>
            <w:right w:w="108" w:type="dxa"/>
          </w:tblCellMar>
        </w:tblPrEx>
        <w:trPr>
          <w:cantSplit/>
          <w:trHeight w:val="64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9"/>
              <w:widowControl w:val="0"/>
              <w:spacing w:line="240" w:lineRule="exact"/>
              <w:ind w:left="113" w:right="113" w:firstLine="0"/>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rFonts w:ascii="宋体" w:hAnsi="宋体"/>
                <w:b/>
                <w:color w:val="000000" w:themeColor="text1"/>
                <w:sz w:val="20"/>
                <w:szCs w:val="20"/>
              </w:rPr>
            </w:pPr>
            <w:r>
              <w:rPr>
                <w:rFonts w:ascii="宋体" w:hAnsi="宋体"/>
                <w:b/>
                <w:color w:val="000000" w:themeColor="text1"/>
                <w:sz w:val="20"/>
                <w:szCs w:val="20"/>
              </w:rPr>
              <w:t>环保设施：</w:t>
            </w:r>
          </w:p>
          <w:p>
            <w:pPr>
              <w:pStyle w:val="9"/>
              <w:widowControl w:val="0"/>
              <w:spacing w:line="240" w:lineRule="exact"/>
              <w:rPr>
                <w:rFonts w:hint="default" w:ascii="宋体" w:hAnsi="宋体" w:eastAsia="宋体"/>
                <w:b/>
                <w:color w:val="000000" w:themeColor="text1"/>
                <w:sz w:val="20"/>
                <w:szCs w:val="20"/>
                <w:lang w:val="en-US" w:eastAsia="zh-CN"/>
              </w:rPr>
            </w:pPr>
            <w:r>
              <w:rPr>
                <w:szCs w:val="22"/>
              </w:rPr>
              <w:t>现场设置分类垃圾桶；</w:t>
            </w:r>
            <w:r>
              <w:rPr>
                <w:rFonts w:hint="eastAsia"/>
                <w:szCs w:val="22"/>
                <w:lang w:val="en-US" w:eastAsia="zh-CN"/>
              </w:rPr>
              <w:t>灭火器、消防栓；状态正常完好；</w:t>
            </w:r>
          </w:p>
        </w:tc>
      </w:tr>
      <w:tr>
        <w:tblPrEx>
          <w:tblCellMar>
            <w:top w:w="0" w:type="dxa"/>
            <w:left w:w="108" w:type="dxa"/>
            <w:bottom w:w="0" w:type="dxa"/>
            <w:right w:w="108" w:type="dxa"/>
          </w:tblCellMar>
        </w:tblPrEx>
        <w:trPr>
          <w:cantSplit/>
          <w:trHeight w:val="97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9"/>
              <w:widowControl w:val="0"/>
              <w:spacing w:line="240" w:lineRule="exact"/>
              <w:ind w:left="113" w:right="113" w:firstLine="0"/>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rFonts w:ascii="宋体" w:hAnsi="宋体"/>
                <w:b/>
                <w:color w:val="000000" w:themeColor="text1"/>
                <w:sz w:val="20"/>
                <w:szCs w:val="20"/>
              </w:rPr>
            </w:pPr>
            <w:r>
              <w:rPr>
                <w:rFonts w:ascii="宋体" w:hAnsi="宋体"/>
                <w:b/>
                <w:color w:val="000000" w:themeColor="text1"/>
                <w:sz w:val="20"/>
                <w:szCs w:val="20"/>
              </w:rPr>
              <w:t>职业健康安全设施：</w:t>
            </w:r>
          </w:p>
          <w:p>
            <w:pPr>
              <w:pStyle w:val="9"/>
              <w:widowControl w:val="0"/>
              <w:spacing w:line="240" w:lineRule="exact"/>
              <w:rPr>
                <w:rFonts w:ascii="宋体" w:hAnsi="宋体"/>
                <w:b/>
                <w:color w:val="000000" w:themeColor="text1"/>
                <w:sz w:val="20"/>
                <w:szCs w:val="20"/>
              </w:rPr>
            </w:pPr>
            <w:r>
              <w:rPr>
                <w:szCs w:val="22"/>
              </w:rPr>
              <w:t>标志牌、</w:t>
            </w:r>
            <w:r>
              <w:rPr>
                <w:rFonts w:hint="eastAsia"/>
                <w:szCs w:val="22"/>
                <w:lang w:val="en-US" w:eastAsia="zh-CN"/>
              </w:rPr>
              <w:t>配备</w:t>
            </w:r>
            <w:r>
              <w:rPr>
                <w:szCs w:val="22"/>
              </w:rPr>
              <w:t>劳保用品、消防栓、灭火器</w:t>
            </w:r>
          </w:p>
        </w:tc>
      </w:tr>
      <w:tr>
        <w:tblPrEx>
          <w:tblCellMar>
            <w:top w:w="0" w:type="dxa"/>
            <w:left w:w="108" w:type="dxa"/>
            <w:bottom w:w="0" w:type="dxa"/>
            <w:right w:w="108" w:type="dxa"/>
          </w:tblCellMar>
        </w:tblPrEx>
        <w:trPr>
          <w:cantSplit/>
          <w:trHeight w:val="173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extDirection w:val="tbRl"/>
            <w:vAlign w:val="center"/>
          </w:tcPr>
          <w:p>
            <w:pPr>
              <w:pStyle w:val="9"/>
              <w:widowControl w:val="0"/>
              <w:spacing w:line="240" w:lineRule="exact"/>
              <w:ind w:left="113" w:right="113" w:firstLine="0"/>
              <w:jc w:val="center"/>
              <w:rPr>
                <w:b/>
                <w:color w:val="000000" w:themeColor="text1"/>
                <w:sz w:val="20"/>
                <w:szCs w:val="20"/>
              </w:rPr>
            </w:pPr>
            <w:r>
              <w:rPr>
                <w:b/>
                <w:color w:val="000000" w:themeColor="text1"/>
                <w:sz w:val="20"/>
                <w:szCs w:val="20"/>
              </w:rPr>
              <w:t>(三)体系运行情况</w:t>
            </w: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300" w:lineRule="exact"/>
              <w:rPr>
                <w:b/>
                <w:color w:val="000000" w:themeColor="text1"/>
                <w:sz w:val="20"/>
                <w:szCs w:val="20"/>
              </w:rPr>
            </w:pPr>
            <w:r>
              <w:rPr>
                <w:b/>
                <w:color w:val="000000" w:themeColor="text1"/>
                <w:sz w:val="20"/>
                <w:szCs w:val="20"/>
              </w:rPr>
              <w:t>1. 针对方针的管理职责评审</w:t>
            </w:r>
          </w:p>
          <w:p>
            <w:pPr>
              <w:pStyle w:val="9"/>
              <w:widowControl w:val="0"/>
              <w:spacing w:line="300" w:lineRule="exact"/>
              <w:ind w:left="1" w:firstLine="0"/>
              <w:rPr>
                <w:b/>
                <w:color w:val="000000" w:themeColor="text1"/>
                <w:sz w:val="20"/>
                <w:szCs w:val="20"/>
              </w:rPr>
            </w:pPr>
            <w:r>
              <w:rPr>
                <w:b/>
                <w:color w:val="000000" w:themeColor="text1"/>
                <w:sz w:val="20"/>
                <w:szCs w:val="20"/>
              </w:rPr>
              <w:t>（包括针对组织宗旨，制定相关管理方针政策、确保方针为员工理解并在运营中实施，监视方针的实施并评审方针的适宜性）</w:t>
            </w:r>
          </w:p>
          <w:p>
            <w:pPr>
              <w:pStyle w:val="22"/>
              <w:widowControl w:val="0"/>
              <w:ind w:firstLine="420"/>
              <w:rPr>
                <w:szCs w:val="22"/>
              </w:rPr>
            </w:pPr>
            <w:r>
              <w:rPr>
                <w:szCs w:val="22"/>
              </w:rPr>
              <w:t>根据组织宗旨制定了管理体系方针，进行了有效沟通，在管理评审时进行评审，符合要求。</w:t>
            </w:r>
          </w:p>
          <w:p>
            <w:pPr>
              <w:pStyle w:val="9"/>
              <w:widowControl w:val="0"/>
              <w:spacing w:line="300" w:lineRule="exact"/>
              <w:ind w:left="1" w:firstLine="0"/>
              <w:rPr>
                <w:b/>
                <w:color w:val="000000" w:themeColor="text1"/>
                <w:sz w:val="20"/>
                <w:szCs w:val="20"/>
              </w:rPr>
            </w:pPr>
          </w:p>
        </w:tc>
      </w:tr>
      <w:tr>
        <w:tblPrEx>
          <w:tblCellMar>
            <w:top w:w="0" w:type="dxa"/>
            <w:left w:w="108" w:type="dxa"/>
            <w:bottom w:w="0" w:type="dxa"/>
            <w:right w:w="108" w:type="dxa"/>
          </w:tblCellMar>
        </w:tblPrEx>
        <w:trPr>
          <w:cantSplit/>
          <w:trHeight w:val="255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ind w:left="159" w:hanging="159"/>
              <w:rPr>
                <w:b/>
                <w:color w:val="000000" w:themeColor="text1"/>
                <w:sz w:val="20"/>
                <w:szCs w:val="20"/>
              </w:rPr>
            </w:pPr>
            <w:r>
              <w:rPr>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pPr>
              <w:pStyle w:val="9"/>
              <w:widowControl w:val="0"/>
              <w:spacing w:line="240" w:lineRule="exact"/>
              <w:rPr>
                <w:rFonts w:ascii="楷体_GB2312" w:hAnsi="楷体_GB2312" w:eastAsia="楷体_GB2312"/>
                <w:b/>
                <w:color w:val="000000" w:themeColor="text1"/>
                <w:sz w:val="20"/>
                <w:szCs w:val="20"/>
              </w:rPr>
            </w:pPr>
          </w:p>
          <w:p>
            <w:pPr>
              <w:pStyle w:val="9"/>
              <w:widowControl w:val="0"/>
              <w:spacing w:line="240" w:lineRule="exact"/>
              <w:rPr>
                <w:rFonts w:ascii="楷体_GB2312" w:hAnsi="楷体_GB2312" w:eastAsia="楷体_GB2312"/>
                <w:b/>
                <w:color w:val="000000" w:themeColor="text1"/>
                <w:sz w:val="20"/>
                <w:szCs w:val="20"/>
              </w:rPr>
            </w:pPr>
            <w:r>
              <w:rPr>
                <w:rFonts w:ascii="楷体_GB2312" w:hAnsi="楷体_GB2312" w:eastAsia="楷体_GB2312"/>
                <w:b/>
                <w:color w:val="000000" w:themeColor="text1"/>
                <w:sz w:val="20"/>
                <w:szCs w:val="20"/>
              </w:rPr>
              <w:t>内部沟通的情况：内部沟通方式：</w:t>
            </w:r>
            <w:r>
              <w:rPr>
                <w:szCs w:val="21"/>
              </w:rPr>
              <w:t>培训、会议、电话；</w:t>
            </w:r>
          </w:p>
          <w:p>
            <w:pPr>
              <w:pStyle w:val="9"/>
              <w:widowControl w:val="0"/>
              <w:spacing w:line="240" w:lineRule="exact"/>
              <w:rPr>
                <w:rFonts w:ascii="楷体_GB2312" w:hAnsi="楷体_GB2312" w:eastAsia="楷体_GB2312"/>
                <w:b/>
                <w:color w:val="000000" w:themeColor="text1"/>
                <w:sz w:val="20"/>
                <w:szCs w:val="20"/>
              </w:rPr>
            </w:pPr>
            <w:r>
              <w:rPr>
                <w:rFonts w:ascii="楷体_GB2312" w:hAnsi="楷体_GB2312" w:eastAsia="楷体_GB2312"/>
                <w:b/>
                <w:color w:val="000000" w:themeColor="text1"/>
                <w:sz w:val="20"/>
                <w:szCs w:val="20"/>
              </w:rPr>
              <w:t xml:space="preserve">                内部沟通的效果：</w:t>
            </w:r>
            <w:r>
              <w:rPr>
                <w:szCs w:val="21"/>
              </w:rPr>
              <w:t>沟通畅通；</w:t>
            </w:r>
          </w:p>
          <w:p>
            <w:pPr>
              <w:pStyle w:val="9"/>
              <w:widowControl w:val="0"/>
              <w:spacing w:line="240" w:lineRule="exact"/>
              <w:rPr>
                <w:rFonts w:ascii="楷体_GB2312" w:hAnsi="楷体_GB2312" w:eastAsia="楷体_GB2312"/>
                <w:b/>
                <w:color w:val="000000" w:themeColor="text1"/>
                <w:sz w:val="20"/>
                <w:szCs w:val="20"/>
              </w:rPr>
            </w:pPr>
          </w:p>
          <w:p>
            <w:pPr>
              <w:pStyle w:val="9"/>
              <w:widowControl w:val="0"/>
              <w:spacing w:line="240" w:lineRule="exact"/>
              <w:rPr>
                <w:rFonts w:ascii="楷体_GB2312" w:hAnsi="楷体_GB2312" w:eastAsia="楷体_GB2312"/>
                <w:b/>
                <w:color w:val="000000" w:themeColor="text1"/>
                <w:sz w:val="20"/>
                <w:szCs w:val="20"/>
              </w:rPr>
            </w:pPr>
            <w:r>
              <w:rPr>
                <w:rFonts w:ascii="楷体_GB2312" w:hAnsi="楷体_GB2312" w:eastAsia="楷体_GB2312"/>
                <w:b/>
                <w:color w:val="000000" w:themeColor="text1"/>
                <w:sz w:val="20"/>
                <w:szCs w:val="20"/>
              </w:rPr>
              <w:t>组织对外联络，关注顾客的感受情况（QMS）：</w:t>
            </w:r>
            <w:r>
              <w:rPr>
                <w:szCs w:val="21"/>
              </w:rPr>
              <w:t>定期组织顾客满意度调查和走访。</w:t>
            </w:r>
          </w:p>
          <w:p>
            <w:pPr>
              <w:pStyle w:val="9"/>
              <w:widowControl w:val="0"/>
              <w:spacing w:line="240" w:lineRule="exact"/>
              <w:rPr>
                <w:rFonts w:ascii="楷体_GB2312" w:hAnsi="楷体_GB2312" w:eastAsia="楷体_GB2312"/>
                <w:b/>
                <w:color w:val="000000" w:themeColor="text1"/>
                <w:sz w:val="20"/>
                <w:szCs w:val="20"/>
              </w:rPr>
            </w:pPr>
          </w:p>
          <w:p>
            <w:pPr>
              <w:pStyle w:val="9"/>
              <w:widowControl w:val="0"/>
              <w:rPr>
                <w:rFonts w:ascii="楷体_GB2312" w:hAnsi="楷体_GB2312" w:eastAsia="楷体_GB2312"/>
                <w:b/>
                <w:color w:val="000000" w:themeColor="text1"/>
                <w:szCs w:val="21"/>
              </w:rPr>
            </w:pPr>
            <w:r>
              <w:rPr>
                <w:rFonts w:ascii="楷体_GB2312" w:hAnsi="楷体_GB2312" w:eastAsia="楷体_GB2312"/>
                <w:b/>
                <w:color w:val="000000" w:themeColor="text1"/>
                <w:sz w:val="20"/>
                <w:szCs w:val="20"/>
              </w:rPr>
              <w:t>外部信息的接收、成文并答复的情况（E、S填写）：</w:t>
            </w:r>
            <w:r>
              <w:rPr>
                <w:szCs w:val="21"/>
              </w:rPr>
              <w:t>参加相关部门组织的会议、网络及走访，接收相关部门下达的通知并在公司内部沟通传达。</w:t>
            </w:r>
          </w:p>
          <w:p>
            <w:pPr>
              <w:pStyle w:val="9"/>
              <w:widowControl w:val="0"/>
              <w:spacing w:line="240" w:lineRule="exact"/>
              <w:rPr>
                <w:rFonts w:ascii="楷体_GB2312" w:hAnsi="楷体_GB2312" w:eastAsia="楷体_GB2312"/>
                <w:b/>
                <w:color w:val="000000" w:themeColor="text1"/>
                <w:sz w:val="20"/>
                <w:szCs w:val="20"/>
              </w:rPr>
            </w:pPr>
          </w:p>
          <w:p>
            <w:pPr>
              <w:pStyle w:val="9"/>
              <w:widowControl w:val="0"/>
              <w:spacing w:line="240" w:lineRule="exact"/>
              <w:rPr>
                <w:rFonts w:ascii="楷体_GB2312" w:hAnsi="楷体_GB2312" w:eastAsia="楷体_GB2312"/>
                <w:b/>
                <w:color w:val="000000" w:themeColor="text1"/>
                <w:sz w:val="20"/>
                <w:szCs w:val="20"/>
              </w:rPr>
            </w:pPr>
            <w:r>
              <w:rPr>
                <w:rFonts w:ascii="楷体_GB2312" w:hAnsi="楷体_GB2312" w:eastAsia="楷体_GB2312"/>
                <w:b/>
                <w:color w:val="000000" w:themeColor="text1"/>
                <w:sz w:val="20"/>
                <w:szCs w:val="20"/>
              </w:rPr>
              <w:t>重要环境因素信息对外交流情况（EMS填写）：</w:t>
            </w:r>
            <w:r>
              <w:rPr>
                <w:rFonts w:asciiTheme="minorEastAsia" w:hAnsiTheme="minorEastAsia"/>
                <w:szCs w:val="21"/>
              </w:rPr>
              <w:t>通过发放《告相关方书》与相关方就相关质量、环境、职业健康安全信息进行相互沟通。</w:t>
            </w:r>
          </w:p>
          <w:p>
            <w:pPr>
              <w:pStyle w:val="9"/>
              <w:widowControl w:val="0"/>
              <w:spacing w:line="240" w:lineRule="exact"/>
              <w:rPr>
                <w:rFonts w:ascii="楷体_GB2312" w:hAnsi="楷体_GB2312" w:eastAsia="楷体_GB2312"/>
                <w:b/>
                <w:color w:val="000000" w:themeColor="text1"/>
                <w:sz w:val="20"/>
                <w:szCs w:val="20"/>
              </w:rPr>
            </w:pPr>
            <w:r>
              <w:rPr>
                <w:rFonts w:ascii="楷体_GB2312" w:hAnsi="楷体_GB2312" w:eastAsia="楷体_GB2312"/>
                <w:b/>
                <w:color w:val="000000" w:themeColor="text1"/>
                <w:sz w:val="20"/>
                <w:szCs w:val="20"/>
              </w:rPr>
              <w:t>OHSMS事务代表协商和交流的情况（OHSMS填写）：</w:t>
            </w:r>
          </w:p>
          <w:p>
            <w:pPr>
              <w:spacing w:line="360" w:lineRule="exact"/>
              <w:ind w:firstLine="420" w:firstLineChars="200"/>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公司通过员工选举邹建芳为公司的职业健康安全事务代表。询问邹建芳了解为该公司职业健康安全事务代表的职责：</w:t>
            </w:r>
            <w:r>
              <w:rPr>
                <w:rFonts w:hint="eastAsia" w:cs="宋体" w:asciiTheme="minorEastAsia" w:hAnsiTheme="minorEastAsia" w:eastAsiaTheme="minorEastAsia"/>
                <w:kern w:val="2"/>
                <w:sz w:val="21"/>
                <w:szCs w:val="21"/>
                <w:lang w:val="en-US" w:eastAsia="zh-CN" w:bidi="ar-SA"/>
              </w:rPr>
              <w:t>负责收集员工对职业健康安全存在的问题和建议，负责向管理者代表和公司汇报职业健康安全存在的问题、提出意见和建议，并对公司职业健康安全管理体系的运行进行监督，为评审和改进职业健康安全管理体系提供依据。</w:t>
            </w:r>
          </w:p>
          <w:p>
            <w:pPr>
              <w:spacing w:line="360" w:lineRule="exact"/>
              <w:rPr>
                <w:rFonts w:ascii="楷体_GB2312" w:hAnsi="楷体_GB2312" w:eastAsia="楷体_GB2312"/>
                <w:b/>
                <w:color w:val="000000" w:themeColor="text1"/>
                <w:szCs w:val="21"/>
              </w:rPr>
            </w:pPr>
            <w:r>
              <w:rPr>
                <w:rFonts w:ascii="楷体_GB2312" w:hAnsi="楷体_GB2312" w:eastAsia="楷体_GB2312"/>
                <w:b/>
                <w:color w:val="000000" w:themeColor="text1"/>
                <w:szCs w:val="21"/>
              </w:rPr>
              <w:t>与相关方协商的情况（OHSMS填写）：</w:t>
            </w:r>
            <w:r>
              <w:rPr>
                <w:rFonts w:asciiTheme="minorEastAsia" w:hAnsiTheme="minorEastAsia"/>
                <w:szCs w:val="21"/>
              </w:rPr>
              <w:t>通过发放告相关方书</w:t>
            </w:r>
            <w:bookmarkStart w:id="24" w:name="_GoBack"/>
            <w:bookmarkEnd w:id="24"/>
            <w:r>
              <w:rPr>
                <w:rFonts w:asciiTheme="minorEastAsia" w:hAnsiTheme="minorEastAsia"/>
                <w:szCs w:val="21"/>
              </w:rPr>
              <w:t>与相关方就相关质量、环境、职业健康安全信息进行相互沟通。</w:t>
            </w:r>
          </w:p>
          <w:p>
            <w:pPr>
              <w:pStyle w:val="9"/>
              <w:widowControl w:val="0"/>
              <w:spacing w:line="240" w:lineRule="exact"/>
              <w:rPr>
                <w:rFonts w:ascii="楷体_GB2312" w:hAnsi="楷体_GB2312" w:eastAsia="楷体_GB2312"/>
                <w:b/>
                <w:color w:val="000000" w:themeColor="text1"/>
                <w:szCs w:val="21"/>
              </w:rPr>
            </w:pPr>
          </w:p>
        </w:tc>
      </w:tr>
      <w:tr>
        <w:tblPrEx>
          <w:tblCellMar>
            <w:top w:w="0" w:type="dxa"/>
            <w:left w:w="108" w:type="dxa"/>
            <w:bottom w:w="0" w:type="dxa"/>
            <w:right w:w="108" w:type="dxa"/>
          </w:tblCellMar>
        </w:tblPrEx>
        <w:trPr>
          <w:cantSplit/>
          <w:trHeight w:val="225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b/>
                <w:color w:val="000000" w:themeColor="text1"/>
                <w:sz w:val="20"/>
                <w:szCs w:val="20"/>
              </w:rPr>
            </w:pPr>
            <w:r>
              <w:rPr>
                <w:b/>
                <w:color w:val="000000" w:themeColor="text1"/>
                <w:sz w:val="20"/>
                <w:szCs w:val="20"/>
              </w:rPr>
              <w:t>3.  QMS 组织对重要过程实施控制的结果</w:t>
            </w:r>
          </w:p>
          <w:p>
            <w:pPr>
              <w:pStyle w:val="9"/>
              <w:widowControl w:val="0"/>
              <w:spacing w:line="240" w:lineRule="exact"/>
              <w:ind w:left="188" w:hanging="100"/>
              <w:rPr>
                <w:b/>
                <w:color w:val="000000" w:themeColor="text1"/>
                <w:sz w:val="20"/>
                <w:szCs w:val="20"/>
              </w:rPr>
            </w:pPr>
            <w:r>
              <w:rPr>
                <w:b/>
                <w:color w:val="000000" w:themeColor="text1"/>
                <w:sz w:val="20"/>
                <w:szCs w:val="20"/>
              </w:rPr>
              <w:t>(包括对QMS关键工序(过程)、特殊过程控制;评价组织对过程实施控制情况/)</w:t>
            </w:r>
          </w:p>
          <w:p>
            <w:pPr>
              <w:pStyle w:val="9"/>
              <w:widowControl w:val="0"/>
              <w:ind w:firstLine="420"/>
              <w:rPr>
                <w:rFonts w:hint="default" w:ascii="宋体" w:hAnsi="宋体" w:eastAsia="宋体"/>
                <w:szCs w:val="21"/>
                <w:lang w:val="en-US" w:eastAsia="zh-CN"/>
              </w:rPr>
            </w:pPr>
            <w:r>
              <w:rPr>
                <w:rFonts w:ascii="宋体" w:hAnsi="宋体"/>
                <w:szCs w:val="21"/>
              </w:rPr>
              <w:t>公司</w:t>
            </w:r>
            <w:r>
              <w:rPr>
                <w:rFonts w:hint="eastAsia" w:ascii="宋体" w:hAnsi="宋体"/>
                <w:szCs w:val="21"/>
                <w:lang w:val="en-US" w:eastAsia="zh-CN"/>
              </w:rPr>
              <w:t>从事钢质防火门、防盗门销售</w:t>
            </w:r>
          </w:p>
          <w:p>
            <w:pPr>
              <w:spacing w:line="380" w:lineRule="exact"/>
              <w:ind w:firstLine="420" w:firstLineChars="200"/>
              <w:rPr>
                <w:rFonts w:hint="eastAsia" w:ascii="宋体" w:hAnsi="宋体"/>
                <w:color w:val="000000" w:themeColor="text1"/>
                <w:sz w:val="21"/>
                <w:szCs w:val="21"/>
              </w:rPr>
            </w:pPr>
            <w:r>
              <w:rPr>
                <w:rFonts w:ascii="宋体" w:hAnsi="宋体"/>
                <w:szCs w:val="21"/>
              </w:rPr>
              <w:t>流程：</w:t>
            </w:r>
            <w:r>
              <w:rPr>
                <w:rFonts w:hint="eastAsia" w:ascii="宋体" w:hAnsi="宋体"/>
                <w:color w:val="000000" w:themeColor="text1"/>
                <w:sz w:val="21"/>
                <w:szCs w:val="21"/>
              </w:rPr>
              <w:t>接订单-合同评审-签订合同-组织货源-销售（发货）-客户验收-售后服务</w:t>
            </w:r>
          </w:p>
          <w:p>
            <w:pPr>
              <w:pStyle w:val="9"/>
              <w:widowControl w:val="0"/>
              <w:ind w:firstLine="420"/>
              <w:rPr>
                <w:rFonts w:hint="eastAsia" w:ascii="宋体" w:hAnsi="宋体" w:cs="Times New Roman"/>
                <w:szCs w:val="21"/>
                <w:lang w:val="en-US" w:eastAsia="zh-CN"/>
              </w:rPr>
            </w:pPr>
            <w:r>
              <w:rPr>
                <w:rFonts w:hint="eastAsia" w:ascii="宋体" w:hAnsi="宋体" w:cs="Times New Roman"/>
                <w:szCs w:val="21"/>
                <w:lang w:val="en-US" w:eastAsia="zh-CN"/>
              </w:rPr>
              <w:t>公司制定并执行《销售管理程序》， 进行客户沟通、业务洽谈，参加投标、报价，商务谈判和合同签订，销售内勤根据合同交货期拟定发货计划，督导备货情况，确认备货充足，销售部经理确认后方可出厂销售；</w:t>
            </w:r>
          </w:p>
          <w:p>
            <w:pPr>
              <w:pStyle w:val="9"/>
              <w:widowControl w:val="0"/>
              <w:ind w:firstLine="420"/>
              <w:rPr>
                <w:rFonts w:hint="eastAsia" w:ascii="宋体" w:hAnsi="宋体" w:cs="Times New Roman"/>
                <w:szCs w:val="21"/>
                <w:lang w:val="en-US" w:eastAsia="zh-CN"/>
              </w:rPr>
            </w:pPr>
            <w:r>
              <w:rPr>
                <w:rFonts w:hint="eastAsia" w:ascii="宋体" w:hAnsi="宋体" w:cs="Times New Roman"/>
                <w:szCs w:val="21"/>
                <w:lang w:val="en-US" w:eastAsia="zh-CN"/>
              </w:rPr>
              <w:t>直接交付的产品，由销售部在采购合同中要求供应商直接发货给客户，由客户对产品进行检验</w:t>
            </w:r>
          </w:p>
          <w:p>
            <w:pPr>
              <w:pStyle w:val="9"/>
              <w:widowControl w:val="0"/>
              <w:ind w:firstLine="420"/>
              <w:rPr>
                <w:rFonts w:hint="eastAsia" w:ascii="宋体" w:hAnsi="宋体" w:cs="Times New Roman"/>
                <w:szCs w:val="21"/>
                <w:lang w:val="en-US" w:eastAsia="zh-CN"/>
              </w:rPr>
            </w:pPr>
            <w:r>
              <w:rPr>
                <w:rFonts w:hint="eastAsia" w:ascii="宋体" w:hAnsi="宋体" w:cs="Times New Roman"/>
                <w:szCs w:val="21"/>
                <w:lang w:val="en-US" w:eastAsia="zh-CN"/>
              </w:rPr>
              <w:t>需要检验的产品，由销售部要求供应商送货到公司，销售部进行抽样质量验证；销售部检验合格，出具产品检验报告，销售部发货给客户</w:t>
            </w:r>
          </w:p>
          <w:p>
            <w:pPr>
              <w:pStyle w:val="9"/>
              <w:widowControl w:val="0"/>
              <w:ind w:firstLine="420"/>
              <w:rPr>
                <w:rFonts w:ascii="宋体" w:hAnsi="宋体"/>
                <w:szCs w:val="21"/>
              </w:rPr>
            </w:pPr>
            <w:r>
              <w:rPr>
                <w:rFonts w:ascii="宋体" w:hAnsi="宋体"/>
                <w:szCs w:val="21"/>
              </w:rPr>
              <w:t>公司</w:t>
            </w:r>
            <w:r>
              <w:rPr>
                <w:rFonts w:hint="eastAsia" w:ascii="宋体" w:hAnsi="宋体"/>
                <w:szCs w:val="21"/>
                <w:lang w:val="en-US" w:eastAsia="zh-CN"/>
              </w:rPr>
              <w:t>销售过程为需要</w:t>
            </w:r>
            <w:r>
              <w:rPr>
                <w:rFonts w:ascii="宋体" w:hAnsi="宋体"/>
                <w:szCs w:val="21"/>
              </w:rPr>
              <w:t>确认过程，</w:t>
            </w:r>
            <w:r>
              <w:rPr>
                <w:rFonts w:hint="eastAsia" w:ascii="宋体" w:hAnsi="宋体"/>
                <w:szCs w:val="21"/>
                <w:lang w:val="en-US" w:eastAsia="zh-CN"/>
              </w:rPr>
              <w:t>已对涉及的人、机、料、法、环方面一一确认，确认销售过程受控能够达到预期结果</w:t>
            </w:r>
            <w:r>
              <w:rPr>
                <w:rFonts w:ascii="宋体" w:hAnsi="宋体"/>
                <w:szCs w:val="21"/>
              </w:rPr>
              <w:t>。</w:t>
            </w:r>
          </w:p>
          <w:p>
            <w:pPr>
              <w:pStyle w:val="9"/>
              <w:widowControl w:val="0"/>
              <w:spacing w:line="240" w:lineRule="exact"/>
              <w:rPr>
                <w:b/>
                <w:color w:val="000000" w:themeColor="text1"/>
                <w:sz w:val="20"/>
                <w:szCs w:val="20"/>
              </w:rPr>
            </w:pPr>
          </w:p>
        </w:tc>
      </w:tr>
      <w:tr>
        <w:tblPrEx>
          <w:tblCellMar>
            <w:top w:w="0" w:type="dxa"/>
            <w:left w:w="108" w:type="dxa"/>
            <w:bottom w:w="0" w:type="dxa"/>
            <w:right w:w="108" w:type="dxa"/>
          </w:tblCellMar>
        </w:tblPrEx>
        <w:trPr>
          <w:cantSplit/>
          <w:trHeight w:val="225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300" w:lineRule="exact"/>
              <w:jc w:val="left"/>
              <w:rPr>
                <w:b/>
                <w:color w:val="000000" w:themeColor="text1"/>
                <w:sz w:val="20"/>
                <w:szCs w:val="20"/>
              </w:rPr>
            </w:pPr>
            <w:r>
              <w:rPr>
                <w:b/>
                <w:color w:val="000000" w:themeColor="text1"/>
                <w:sz w:val="20"/>
                <w:szCs w:val="20"/>
              </w:rPr>
              <w:t>4.QMS产品/服务的标准、协议/规范的有效性以及产品/服务质量符合要求，向顾客稳定提供合格产品的情况；</w:t>
            </w:r>
          </w:p>
          <w:p>
            <w:pPr>
              <w:pStyle w:val="9"/>
              <w:widowControl w:val="0"/>
              <w:ind w:firstLine="420"/>
              <w:rPr>
                <w:rFonts w:ascii="宋体" w:hAnsi="宋体" w:cs="宋体"/>
                <w:szCs w:val="22"/>
              </w:rPr>
            </w:pPr>
            <w:r>
              <w:rPr>
                <w:rFonts w:ascii="宋体" w:hAnsi="宋体" w:cs="宋体"/>
                <w:szCs w:val="22"/>
              </w:rPr>
              <w:t>企业参考国家行业主要有：标准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GB 12955-2008防火门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GB17565-2007防盗安全门通用技术条件》</w:t>
            </w:r>
            <w:r>
              <w:rPr>
                <w:rFonts w:ascii="宋体" w:hAnsi="宋体" w:cs="宋体"/>
                <w:szCs w:val="22"/>
              </w:rPr>
              <w:t>和客户要求。</w:t>
            </w:r>
          </w:p>
          <w:p>
            <w:pPr>
              <w:pStyle w:val="9"/>
              <w:widowControl w:val="0"/>
              <w:ind w:firstLine="420"/>
              <w:rPr>
                <w:rFonts w:ascii="宋体" w:hAnsi="宋体" w:cs="宋体"/>
                <w:szCs w:val="22"/>
              </w:rPr>
            </w:pPr>
            <w:r>
              <w:rPr>
                <w:rFonts w:ascii="宋体" w:hAnsi="宋体" w:cs="宋体"/>
                <w:szCs w:val="22"/>
              </w:rPr>
              <w:t>提供了产品检验记录，产品检验合格，满足顾客要求。</w:t>
            </w:r>
          </w:p>
          <w:p>
            <w:pPr>
              <w:pStyle w:val="9"/>
              <w:widowControl w:val="0"/>
              <w:spacing w:line="240" w:lineRule="exact"/>
              <w:rPr>
                <w:b/>
                <w:color w:val="000000" w:themeColor="text1"/>
                <w:sz w:val="20"/>
                <w:szCs w:val="20"/>
              </w:rPr>
            </w:pPr>
          </w:p>
          <w:p>
            <w:pPr>
              <w:pStyle w:val="9"/>
              <w:widowControl w:val="0"/>
              <w:spacing w:line="240" w:lineRule="exact"/>
              <w:rPr>
                <w:b/>
                <w:color w:val="000000" w:themeColor="text1"/>
                <w:sz w:val="20"/>
                <w:szCs w:val="20"/>
              </w:rPr>
            </w:pPr>
            <w:r>
              <w:rPr>
                <w:b/>
                <w:color w:val="000000" w:themeColor="text1"/>
                <w:sz w:val="20"/>
                <w:szCs w:val="20"/>
              </w:rPr>
              <w:t>(应说明相关证据)：</w:t>
            </w:r>
          </w:p>
          <w:p>
            <w:pPr>
              <w:pStyle w:val="9"/>
              <w:widowControl w:val="0"/>
              <w:spacing w:line="240" w:lineRule="exact"/>
              <w:rPr>
                <w:b/>
                <w:color w:val="000000" w:themeColor="text1"/>
                <w:sz w:val="20"/>
                <w:szCs w:val="20"/>
              </w:rPr>
            </w:pPr>
          </w:p>
        </w:tc>
      </w:tr>
      <w:tr>
        <w:tblPrEx>
          <w:tblCellMar>
            <w:top w:w="0" w:type="dxa"/>
            <w:left w:w="108" w:type="dxa"/>
            <w:bottom w:w="0" w:type="dxa"/>
            <w:right w:w="108" w:type="dxa"/>
          </w:tblCellMar>
        </w:tblPrEx>
        <w:trPr>
          <w:cantSplit/>
          <w:trHeight w:val="103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b/>
                <w:color w:val="000000" w:themeColor="text1"/>
                <w:sz w:val="20"/>
                <w:szCs w:val="20"/>
              </w:rPr>
            </w:pPr>
            <w:r>
              <w:rPr>
                <w:b/>
                <w:color w:val="000000" w:themeColor="text1"/>
                <w:sz w:val="20"/>
                <w:szCs w:val="20"/>
              </w:rPr>
              <w:t>5 .QMS国家/地方技术监督部门监测（检测、委托检测、定期监测、型式试验等）、抽查结果</w:t>
            </w:r>
          </w:p>
          <w:p>
            <w:pPr>
              <w:pStyle w:val="9"/>
              <w:widowControl w:val="0"/>
              <w:ind w:firstLine="420"/>
              <w:rPr>
                <w:rFonts w:ascii="宋体" w:hAnsi="宋体" w:cs="宋体"/>
                <w:szCs w:val="22"/>
              </w:rPr>
            </w:pPr>
            <w:r>
              <w:rPr>
                <w:rFonts w:ascii="宋体" w:hAnsi="宋体" w:cs="宋体"/>
                <w:szCs w:val="22"/>
              </w:rPr>
              <w:t>无。</w:t>
            </w:r>
          </w:p>
          <w:p>
            <w:pPr>
              <w:pStyle w:val="9"/>
              <w:widowControl w:val="0"/>
              <w:spacing w:line="300" w:lineRule="exact"/>
              <w:ind w:firstLine="197"/>
              <w:rPr>
                <w:b/>
                <w:color w:val="000000" w:themeColor="text1"/>
                <w:sz w:val="20"/>
                <w:szCs w:val="20"/>
              </w:rPr>
            </w:pPr>
            <w:r>
              <w:rPr>
                <w:b/>
                <w:color w:val="000000" w:themeColor="text1"/>
                <w:sz w:val="20"/>
                <w:szCs w:val="20"/>
              </w:rPr>
              <w:t>（附相关证据）：</w:t>
            </w:r>
          </w:p>
        </w:tc>
      </w:tr>
      <w:tr>
        <w:tblPrEx>
          <w:tblCellMar>
            <w:top w:w="0" w:type="dxa"/>
            <w:left w:w="108" w:type="dxa"/>
            <w:bottom w:w="0" w:type="dxa"/>
            <w:right w:w="108" w:type="dxa"/>
          </w:tblCellMar>
        </w:tblPrEx>
        <w:trPr>
          <w:cantSplit/>
          <w:trHeight w:val="113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b/>
                <w:color w:val="000000" w:themeColor="text1"/>
                <w:spacing w:val="-8"/>
                <w:sz w:val="20"/>
                <w:szCs w:val="20"/>
              </w:rPr>
            </w:pPr>
            <w:r>
              <w:rPr>
                <w:b/>
                <w:color w:val="000000" w:themeColor="text1"/>
                <w:sz w:val="20"/>
                <w:szCs w:val="20"/>
              </w:rPr>
              <w:t xml:space="preserve">6. </w:t>
            </w:r>
            <w:r>
              <w:rPr>
                <w:b/>
                <w:color w:val="000000" w:themeColor="text1"/>
                <w:spacing w:val="-8"/>
                <w:sz w:val="20"/>
                <w:szCs w:val="20"/>
              </w:rPr>
              <w:t>不合格品/项的识别、控制;</w:t>
            </w:r>
          </w:p>
          <w:p>
            <w:pPr>
              <w:pStyle w:val="9"/>
              <w:widowControl w:val="0"/>
              <w:spacing w:line="240" w:lineRule="exact"/>
              <w:ind w:firstLine="210"/>
              <w:rPr>
                <w:b/>
                <w:color w:val="000000" w:themeColor="text1"/>
                <w:sz w:val="20"/>
                <w:szCs w:val="20"/>
              </w:rPr>
            </w:pPr>
            <w:r>
              <w:rPr>
                <w:rFonts w:ascii="宋体" w:hAnsi="宋体" w:cs="宋体"/>
                <w:szCs w:val="22"/>
              </w:rPr>
              <w:t>提供的《不合格品控制程序》中规定了对不合格品的标识、记录、隔离、记录和处置的控制要求。采购检验中发现的不合格，要求做好相应的标识，并及时通知采购人员作退/换货处理</w:t>
            </w:r>
          </w:p>
        </w:tc>
      </w:tr>
      <w:tr>
        <w:tblPrEx>
          <w:tblCellMar>
            <w:top w:w="0" w:type="dxa"/>
            <w:left w:w="108" w:type="dxa"/>
            <w:bottom w:w="0" w:type="dxa"/>
            <w:right w:w="108" w:type="dxa"/>
          </w:tblCellMar>
        </w:tblPrEx>
        <w:trPr>
          <w:cantSplit/>
          <w:trHeight w:val="183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b/>
                <w:color w:val="000000" w:themeColor="text1"/>
                <w:sz w:val="20"/>
                <w:szCs w:val="20"/>
              </w:rPr>
            </w:pPr>
            <w:r>
              <w:rPr>
                <w:b/>
                <w:color w:val="000000" w:themeColor="text1"/>
                <w:sz w:val="20"/>
                <w:szCs w:val="20"/>
              </w:rPr>
              <w:t>7. EMS组织对重要环境因素实施控制的结果</w:t>
            </w:r>
          </w:p>
          <w:p>
            <w:pPr>
              <w:pStyle w:val="9"/>
              <w:widowControl w:val="0"/>
              <w:spacing w:line="240" w:lineRule="exact"/>
              <w:rPr>
                <w:b/>
                <w:color w:val="000000" w:themeColor="text1"/>
                <w:sz w:val="20"/>
                <w:szCs w:val="20"/>
              </w:rPr>
            </w:pPr>
            <w:r>
              <w:rPr>
                <w:b/>
                <w:color w:val="000000" w:themeColor="text1"/>
                <w:sz w:val="20"/>
                <w:szCs w:val="20"/>
              </w:rPr>
              <w:t>（EMS对重要环境因素控制，重大环境因素对周边环境产生的影响及控制;对相关方施加影响）</w:t>
            </w:r>
          </w:p>
          <w:p>
            <w:pPr>
              <w:pStyle w:val="9"/>
              <w:widowControl w:val="0"/>
              <w:ind w:firstLine="420"/>
              <w:jc w:val="left"/>
              <w:rPr>
                <w:rFonts w:ascii="宋体" w:hAnsi="宋体" w:cs="宋体"/>
                <w:szCs w:val="22"/>
              </w:rPr>
            </w:pPr>
            <w:r>
              <w:rPr>
                <w:rFonts w:ascii="宋体" w:hAnsi="宋体" w:cs="宋体"/>
                <w:szCs w:val="22"/>
              </w:rPr>
              <w:t>1、废水管控：企业无工业废水，生活废水流入市政管网。</w:t>
            </w:r>
          </w:p>
          <w:p>
            <w:pPr>
              <w:pStyle w:val="9"/>
              <w:widowControl w:val="0"/>
              <w:ind w:firstLine="420"/>
              <w:jc w:val="left"/>
              <w:rPr>
                <w:rFonts w:ascii="宋体" w:hAnsi="宋体" w:cs="宋体"/>
                <w:szCs w:val="22"/>
              </w:rPr>
            </w:pPr>
            <w:r>
              <w:rPr>
                <w:rFonts w:ascii="宋体" w:hAnsi="宋体" w:cs="宋体"/>
                <w:szCs w:val="22"/>
              </w:rPr>
              <w:t>2、噪声管控：定期对车辆和设备维护保养确保完好正常，禁止随意鸣笛，采用环保设备。</w:t>
            </w:r>
          </w:p>
          <w:p>
            <w:pPr>
              <w:pStyle w:val="9"/>
              <w:widowControl w:val="0"/>
              <w:ind w:firstLine="420"/>
              <w:jc w:val="left"/>
              <w:rPr>
                <w:rFonts w:ascii="宋体" w:hAnsi="宋体" w:cs="宋体"/>
                <w:szCs w:val="22"/>
              </w:rPr>
            </w:pPr>
            <w:r>
              <w:rPr>
                <w:rFonts w:hint="eastAsia" w:ascii="宋体" w:hAnsi="宋体" w:cs="宋体"/>
                <w:szCs w:val="22"/>
                <w:lang w:val="en-US" w:eastAsia="zh-CN"/>
              </w:rPr>
              <w:t>3</w:t>
            </w:r>
            <w:r>
              <w:rPr>
                <w:rFonts w:ascii="宋体" w:hAnsi="宋体" w:cs="宋体"/>
                <w:szCs w:val="22"/>
              </w:rPr>
              <w:t>、固废管控：目前危险办公废旧有硒鼓/墨盒</w:t>
            </w:r>
            <w:r>
              <w:rPr>
                <w:rFonts w:hint="eastAsia" w:ascii="宋体" w:hAnsi="宋体" w:cs="宋体"/>
                <w:szCs w:val="22"/>
                <w:lang w:val="en-US" w:eastAsia="zh-CN"/>
              </w:rPr>
              <w:t>等</w:t>
            </w:r>
            <w:r>
              <w:rPr>
                <w:rFonts w:ascii="宋体" w:hAnsi="宋体" w:cs="宋体"/>
                <w:szCs w:val="22"/>
              </w:rPr>
              <w:t>，由供应商回收处置。生活垃圾由环卫部门处理，公司缴纳处理费，可外卖或再利用的</w:t>
            </w:r>
            <w:r>
              <w:rPr>
                <w:rFonts w:hint="eastAsia" w:ascii="宋体" w:hAnsi="宋体" w:cs="宋体"/>
                <w:szCs w:val="22"/>
                <w:lang w:val="en-US" w:eastAsia="zh-CN"/>
              </w:rPr>
              <w:t>专有资质公司</w:t>
            </w:r>
            <w:r>
              <w:rPr>
                <w:rFonts w:ascii="宋体" w:hAnsi="宋体" w:cs="宋体"/>
                <w:szCs w:val="22"/>
              </w:rPr>
              <w:t>处理。</w:t>
            </w:r>
          </w:p>
          <w:p>
            <w:pPr>
              <w:pStyle w:val="9"/>
              <w:widowControl w:val="0"/>
              <w:ind w:firstLine="420"/>
              <w:jc w:val="left"/>
              <w:rPr>
                <w:rFonts w:ascii="宋体" w:hAnsi="宋体" w:cs="宋体"/>
                <w:szCs w:val="22"/>
              </w:rPr>
            </w:pPr>
            <w:r>
              <w:rPr>
                <w:rFonts w:hint="eastAsia" w:ascii="宋体" w:hAnsi="宋体" w:cs="宋体"/>
                <w:szCs w:val="22"/>
                <w:lang w:val="en-US" w:eastAsia="zh-CN"/>
              </w:rPr>
              <w:t>4</w:t>
            </w:r>
            <w:r>
              <w:rPr>
                <w:rFonts w:ascii="宋体" w:hAnsi="宋体" w:cs="宋体"/>
                <w:szCs w:val="22"/>
              </w:rPr>
              <w:t>、能源资源管控：注意节水、节电，人走关闭设备和照明开关，现场未发现有漏水和浪费电能的现象。</w:t>
            </w:r>
          </w:p>
          <w:p>
            <w:pPr>
              <w:pStyle w:val="9"/>
              <w:widowControl w:val="0"/>
              <w:ind w:firstLine="420"/>
              <w:jc w:val="left"/>
              <w:rPr>
                <w:rFonts w:ascii="宋体" w:hAnsi="宋体" w:cs="宋体"/>
                <w:szCs w:val="22"/>
              </w:rPr>
            </w:pPr>
            <w:r>
              <w:rPr>
                <w:rFonts w:hint="eastAsia" w:ascii="宋体" w:hAnsi="宋体" w:cs="宋体"/>
                <w:szCs w:val="22"/>
                <w:lang w:val="en-US" w:eastAsia="zh-CN"/>
              </w:rPr>
              <w:t>5</w:t>
            </w:r>
            <w:r>
              <w:rPr>
                <w:rFonts w:ascii="宋体" w:hAnsi="宋体" w:cs="宋体"/>
                <w:szCs w:val="22"/>
              </w:rPr>
              <w:t>、产品生命周期的环境管控：公司采购产品时已考虑了产品的环保性（包括其包装），严格按照环保等管理制度实施，避免浪费，生命周期终了时废旧包装物回收再利用。</w:t>
            </w:r>
          </w:p>
          <w:p>
            <w:pPr>
              <w:pStyle w:val="9"/>
              <w:widowControl w:val="0"/>
              <w:ind w:firstLine="420"/>
              <w:jc w:val="left"/>
              <w:rPr>
                <w:rFonts w:hint="default" w:ascii="宋体" w:hAnsi="宋体" w:eastAsia="宋体" w:cs="宋体"/>
                <w:szCs w:val="22"/>
                <w:lang w:val="en-US" w:eastAsia="zh-CN"/>
              </w:rPr>
            </w:pPr>
            <w:r>
              <w:rPr>
                <w:rFonts w:hint="eastAsia" w:ascii="宋体" w:hAnsi="宋体" w:cs="宋体"/>
                <w:szCs w:val="22"/>
                <w:lang w:val="en-US" w:eastAsia="zh-CN"/>
              </w:rPr>
              <w:t>6、</w:t>
            </w:r>
            <w:r>
              <w:rPr>
                <w:rFonts w:ascii="宋体" w:hAnsi="宋体" w:cs="宋体"/>
                <w:szCs w:val="22"/>
              </w:rPr>
              <w:t>潜在火灾管控：配备灭火器、消防栓</w:t>
            </w:r>
            <w:r>
              <w:rPr>
                <w:rFonts w:hint="eastAsia" w:ascii="宋体" w:hAnsi="宋体" w:cs="宋体"/>
                <w:szCs w:val="22"/>
                <w:lang w:eastAsia="zh-CN"/>
              </w:rPr>
              <w:t>，</w:t>
            </w:r>
            <w:r>
              <w:rPr>
                <w:rFonts w:hint="eastAsia" w:ascii="宋体" w:hAnsi="宋体" w:cs="宋体"/>
                <w:szCs w:val="22"/>
                <w:lang w:val="en-US" w:eastAsia="zh-CN"/>
              </w:rPr>
              <w:t>禁止烟、火。</w:t>
            </w:r>
          </w:p>
          <w:p>
            <w:pPr>
              <w:pStyle w:val="9"/>
              <w:widowControl w:val="0"/>
              <w:spacing w:line="240" w:lineRule="exact"/>
              <w:ind w:firstLine="420"/>
              <w:rPr>
                <w:b/>
                <w:color w:val="000000" w:themeColor="text1"/>
                <w:sz w:val="20"/>
                <w:szCs w:val="20"/>
              </w:rPr>
            </w:pPr>
            <w:r>
              <w:rPr>
                <w:rFonts w:ascii="宋体" w:hAnsi="宋体" w:cs="宋体"/>
                <w:szCs w:val="22"/>
              </w:rPr>
              <w:t>对相关方进行环保要求发告之函进行告知。</w:t>
            </w:r>
          </w:p>
        </w:tc>
      </w:tr>
      <w:tr>
        <w:tblPrEx>
          <w:tblCellMar>
            <w:top w:w="0" w:type="dxa"/>
            <w:left w:w="108" w:type="dxa"/>
            <w:bottom w:w="0" w:type="dxa"/>
            <w:right w:w="108" w:type="dxa"/>
          </w:tblCellMar>
        </w:tblPrEx>
        <w:trPr>
          <w:cantSplit/>
          <w:trHeight w:val="126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b/>
                <w:color w:val="000000" w:themeColor="text1"/>
                <w:sz w:val="20"/>
                <w:szCs w:val="20"/>
              </w:rPr>
            </w:pPr>
            <w:r>
              <w:rPr>
                <w:b/>
                <w:color w:val="000000" w:themeColor="text1"/>
                <w:sz w:val="20"/>
                <w:szCs w:val="20"/>
              </w:rPr>
              <w:t>8. OHSMS组织对不可接受风险实施控制的结果</w:t>
            </w:r>
          </w:p>
          <w:p>
            <w:pPr>
              <w:pStyle w:val="9"/>
              <w:widowControl w:val="0"/>
              <w:ind w:firstLine="420"/>
              <w:jc w:val="left"/>
              <w:rPr>
                <w:rFonts w:hint="default" w:ascii="宋体" w:hAnsi="宋体" w:eastAsia="宋体" w:cs="宋体"/>
                <w:szCs w:val="22"/>
                <w:lang w:val="en-US" w:eastAsia="zh-CN"/>
              </w:rPr>
            </w:pPr>
            <w:r>
              <w:rPr>
                <w:rFonts w:ascii="宋体" w:hAnsi="宋体" w:cs="宋体"/>
                <w:szCs w:val="22"/>
              </w:rPr>
              <w:t>1、潜在火灾管控：配备灭火器、消防栓</w:t>
            </w:r>
            <w:r>
              <w:rPr>
                <w:rFonts w:hint="eastAsia" w:ascii="宋体" w:hAnsi="宋体" w:cs="宋体"/>
                <w:szCs w:val="22"/>
                <w:lang w:eastAsia="zh-CN"/>
              </w:rPr>
              <w:t>，</w:t>
            </w:r>
            <w:r>
              <w:rPr>
                <w:rFonts w:hint="eastAsia" w:ascii="宋体" w:hAnsi="宋体" w:cs="宋体"/>
                <w:szCs w:val="22"/>
                <w:lang w:val="en-US" w:eastAsia="zh-CN"/>
              </w:rPr>
              <w:t>禁止动烟、动火，人员进行消防知识培训。</w:t>
            </w:r>
          </w:p>
          <w:p>
            <w:pPr>
              <w:pStyle w:val="9"/>
              <w:widowControl w:val="0"/>
              <w:ind w:firstLine="420"/>
              <w:jc w:val="left"/>
              <w:rPr>
                <w:rFonts w:ascii="宋体" w:hAnsi="宋体" w:cs="宋体"/>
                <w:szCs w:val="22"/>
              </w:rPr>
            </w:pPr>
            <w:r>
              <w:rPr>
                <w:rFonts w:ascii="宋体" w:hAnsi="宋体" w:cs="宋体"/>
                <w:szCs w:val="22"/>
              </w:rPr>
              <w:t>2、安全防护：公司给员工发放手套、口罩、工作服等劳保用品，现场电线布线合理，漏电保护器状态良好。</w:t>
            </w:r>
          </w:p>
          <w:p>
            <w:pPr>
              <w:pStyle w:val="9"/>
              <w:widowControl w:val="0"/>
              <w:ind w:firstLine="420"/>
              <w:jc w:val="left"/>
              <w:rPr>
                <w:rFonts w:ascii="宋体" w:hAnsi="宋体" w:cs="宋体"/>
                <w:szCs w:val="22"/>
              </w:rPr>
            </w:pPr>
            <w:r>
              <w:rPr>
                <w:rFonts w:ascii="宋体" w:hAnsi="宋体" w:cs="宋体"/>
                <w:szCs w:val="22"/>
              </w:rPr>
              <w:t>3、为员工上</w:t>
            </w:r>
            <w:r>
              <w:rPr>
                <w:rFonts w:hint="eastAsia" w:ascii="宋体" w:hAnsi="宋体" w:cs="宋体"/>
                <w:szCs w:val="22"/>
                <w:lang w:val="en-US" w:eastAsia="zh-CN"/>
              </w:rPr>
              <w:t>意外</w:t>
            </w:r>
            <w:r>
              <w:rPr>
                <w:rFonts w:ascii="宋体" w:hAnsi="宋体" w:cs="宋体"/>
                <w:szCs w:val="22"/>
              </w:rPr>
              <w:t>保险，进行</w:t>
            </w:r>
            <w:r>
              <w:rPr>
                <w:rFonts w:hint="eastAsia" w:ascii="宋体" w:hAnsi="宋体" w:cs="宋体"/>
                <w:szCs w:val="22"/>
                <w:lang w:val="en-US" w:eastAsia="zh-CN"/>
              </w:rPr>
              <w:t>管理制度和</w:t>
            </w:r>
            <w:r>
              <w:rPr>
                <w:rFonts w:ascii="宋体" w:hAnsi="宋体" w:cs="宋体"/>
                <w:szCs w:val="22"/>
              </w:rPr>
              <w:t>安全知识培训。</w:t>
            </w:r>
          </w:p>
          <w:p>
            <w:pPr>
              <w:pStyle w:val="9"/>
              <w:widowControl w:val="0"/>
              <w:ind w:firstLine="420"/>
              <w:jc w:val="left"/>
              <w:rPr>
                <w:rFonts w:ascii="宋体" w:hAnsi="宋体" w:cs="宋体"/>
                <w:szCs w:val="22"/>
              </w:rPr>
            </w:pPr>
            <w:r>
              <w:rPr>
                <w:rFonts w:ascii="宋体" w:hAnsi="宋体" w:cs="宋体"/>
                <w:szCs w:val="22"/>
              </w:rPr>
              <w:t>4、为职业健康安全管理体系运行提供了财务支持。</w:t>
            </w:r>
          </w:p>
          <w:p>
            <w:pPr>
              <w:pStyle w:val="9"/>
              <w:widowControl w:val="0"/>
              <w:ind w:firstLine="420"/>
              <w:jc w:val="left"/>
              <w:rPr>
                <w:rFonts w:ascii="宋体" w:hAnsi="宋体" w:cs="宋体"/>
                <w:szCs w:val="22"/>
              </w:rPr>
            </w:pPr>
            <w:r>
              <w:rPr>
                <w:rFonts w:ascii="宋体" w:hAnsi="宋体" w:cs="宋体"/>
                <w:szCs w:val="22"/>
              </w:rPr>
              <w:t>5、</w:t>
            </w:r>
            <w:r>
              <w:rPr>
                <w:rFonts w:hint="eastAsia" w:ascii="宋体" w:hAnsi="宋体" w:cs="宋体"/>
                <w:szCs w:val="22"/>
                <w:lang w:val="en-US" w:eastAsia="zh-CN"/>
              </w:rPr>
              <w:t>以相关方及来往人员进行安全告之</w:t>
            </w:r>
            <w:r>
              <w:rPr>
                <w:rFonts w:ascii="宋体" w:hAnsi="宋体" w:cs="宋体"/>
                <w:szCs w:val="22"/>
              </w:rPr>
              <w:t>。</w:t>
            </w:r>
          </w:p>
          <w:p>
            <w:pPr>
              <w:pStyle w:val="9"/>
              <w:widowControl w:val="0"/>
              <w:spacing w:line="240" w:lineRule="exact"/>
              <w:ind w:firstLine="420"/>
              <w:rPr>
                <w:b/>
                <w:color w:val="000000" w:themeColor="text1"/>
                <w:sz w:val="20"/>
                <w:szCs w:val="20"/>
              </w:rPr>
            </w:pPr>
            <w:r>
              <w:rPr>
                <w:rFonts w:ascii="宋体" w:hAnsi="宋体" w:cs="宋体"/>
                <w:szCs w:val="22"/>
              </w:rPr>
              <w:t>6、对相关方进行职业健康安全要求告知。</w:t>
            </w:r>
          </w:p>
        </w:tc>
      </w:tr>
      <w:tr>
        <w:tblPrEx>
          <w:tblCellMar>
            <w:top w:w="0" w:type="dxa"/>
            <w:left w:w="108" w:type="dxa"/>
            <w:bottom w:w="0" w:type="dxa"/>
            <w:right w:w="108" w:type="dxa"/>
          </w:tblCellMar>
        </w:tblPrEx>
        <w:trPr>
          <w:cantSplit/>
          <w:trHeight w:val="140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ind w:left="201" w:hanging="201"/>
              <w:rPr>
                <w:b/>
                <w:color w:val="000000" w:themeColor="text1"/>
                <w:sz w:val="20"/>
                <w:szCs w:val="20"/>
              </w:rPr>
            </w:pPr>
            <w:r>
              <w:rPr>
                <w:b/>
                <w:color w:val="000000" w:themeColor="text1"/>
                <w:sz w:val="20"/>
                <w:szCs w:val="20"/>
              </w:rPr>
              <w:t>9. 应急准备与相应活动的演练及对预案可行性的评价(当有规定时)</w:t>
            </w:r>
          </w:p>
          <w:p>
            <w:pPr>
              <w:ind w:left="357"/>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编制了《应急准备和响应控制程序》OHXF-QESP-19，确定的紧急情况有：火灾、触电，均有应</w:t>
            </w:r>
          </w:p>
          <w:p>
            <w:pP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急预案。应急设施配置：办公和贮存场所配备消防器材：灭火器、消防栓，状态有效。</w:t>
            </w:r>
          </w:p>
          <w:p>
            <w:pPr>
              <w:ind w:left="357"/>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2021.4.25日进行消防疏散演练，本次消防演习使员工对“会报警、会灭火、会逃生”的三会</w:t>
            </w:r>
          </w:p>
          <w:p>
            <w:pP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人员有了深刻认，同时对发生火灾时，逃生和自救方法有了大致了解，对危险品泄漏处理方法有了认识，起到了很好的预防效果，总的来讲是比较成功的。通过本次演习，验证了公司应急程序的可行性与适宜性，对应急文件的评审结论通过。</w:t>
            </w:r>
          </w:p>
          <w:p>
            <w:pPr>
              <w:pStyle w:val="9"/>
              <w:widowControl w:val="0"/>
              <w:ind w:firstLine="420"/>
              <w:rPr>
                <w:b/>
                <w:color w:val="000000" w:themeColor="text1"/>
                <w:spacing w:val="-4"/>
                <w:sz w:val="20"/>
                <w:szCs w:val="20"/>
              </w:rPr>
            </w:pPr>
            <w:r>
              <w:rPr>
                <w:rFonts w:hint="eastAsia" w:cs="宋体" w:asciiTheme="minorEastAsia" w:hAnsiTheme="minorEastAsia" w:eastAsiaTheme="minorEastAsia"/>
                <w:szCs w:val="21"/>
                <w:lang w:val="en-US" w:eastAsia="zh-CN"/>
              </w:rPr>
              <w:t>自体系运行以来尚未发生紧急情况。</w:t>
            </w:r>
            <w:r>
              <w:rPr>
                <w:szCs w:val="22"/>
              </w:rPr>
              <w:t>现场查看办公区消防器材状态正常。</w:t>
            </w:r>
          </w:p>
        </w:tc>
      </w:tr>
      <w:tr>
        <w:tblPrEx>
          <w:tblCellMar>
            <w:top w:w="0" w:type="dxa"/>
            <w:left w:w="108" w:type="dxa"/>
            <w:bottom w:w="0" w:type="dxa"/>
            <w:right w:w="108" w:type="dxa"/>
          </w:tblCellMar>
        </w:tblPrEx>
        <w:trPr>
          <w:cantSplit/>
          <w:trHeight w:val="74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b/>
                <w:color w:val="000000" w:themeColor="text1"/>
                <w:sz w:val="20"/>
                <w:szCs w:val="20"/>
              </w:rPr>
            </w:pPr>
            <w:r>
              <w:rPr>
                <w:b/>
                <w:color w:val="000000" w:themeColor="text1"/>
                <w:sz w:val="20"/>
                <w:szCs w:val="20"/>
              </w:rPr>
              <w:t>10. 对特种设备的维护，检定;</w:t>
            </w:r>
          </w:p>
          <w:p>
            <w:pPr>
              <w:pStyle w:val="9"/>
              <w:widowControl w:val="0"/>
              <w:spacing w:line="240" w:lineRule="exact"/>
              <w:ind w:firstLine="420" w:firstLineChars="200"/>
              <w:rPr>
                <w:b/>
                <w:color w:val="000000" w:themeColor="text1"/>
                <w:sz w:val="20"/>
                <w:szCs w:val="20"/>
              </w:rPr>
            </w:pPr>
            <w:r>
              <w:rPr>
                <w:rFonts w:hint="eastAsia" w:ascii="宋体" w:hAnsi="宋体" w:cs="宋体"/>
                <w:szCs w:val="22"/>
                <w:lang w:val="en-US" w:eastAsia="zh-CN"/>
              </w:rPr>
              <w:t>本公司无特种设备</w:t>
            </w:r>
            <w:r>
              <w:rPr>
                <w:rFonts w:ascii="宋体" w:hAnsi="宋体" w:cs="宋体"/>
                <w:szCs w:val="22"/>
              </w:rPr>
              <w:t>。</w:t>
            </w:r>
          </w:p>
        </w:tc>
      </w:tr>
      <w:tr>
        <w:tblPrEx>
          <w:tblCellMar>
            <w:top w:w="0" w:type="dxa"/>
            <w:left w:w="108" w:type="dxa"/>
            <w:bottom w:w="0" w:type="dxa"/>
            <w:right w:w="108" w:type="dxa"/>
          </w:tblCellMar>
        </w:tblPrEx>
        <w:trPr>
          <w:cantSplit/>
          <w:trHeight w:val="47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b/>
                <w:color w:val="000000" w:themeColor="text1"/>
                <w:sz w:val="20"/>
                <w:szCs w:val="20"/>
              </w:rPr>
            </w:pPr>
            <w:r>
              <w:rPr>
                <w:b/>
                <w:color w:val="000000" w:themeColor="text1"/>
                <w:sz w:val="20"/>
                <w:szCs w:val="20"/>
              </w:rPr>
              <w:t>11 .对危险化学品销售、使用、储存、运输处置，规定的执行力度(必要时);</w:t>
            </w:r>
          </w:p>
          <w:p>
            <w:pPr>
              <w:pStyle w:val="9"/>
              <w:widowControl w:val="0"/>
              <w:spacing w:line="240" w:lineRule="exact"/>
              <w:ind w:firstLine="420" w:firstLineChars="200"/>
              <w:rPr>
                <w:b/>
                <w:color w:val="000000" w:themeColor="text1"/>
                <w:sz w:val="20"/>
                <w:szCs w:val="20"/>
              </w:rPr>
            </w:pPr>
            <w:r>
              <w:rPr>
                <w:rFonts w:ascii="宋体" w:hAnsi="宋体" w:cs="宋体"/>
                <w:szCs w:val="22"/>
              </w:rPr>
              <w:t>无</w:t>
            </w:r>
          </w:p>
        </w:tc>
      </w:tr>
      <w:tr>
        <w:tblPrEx>
          <w:tblCellMar>
            <w:top w:w="0" w:type="dxa"/>
            <w:left w:w="108" w:type="dxa"/>
            <w:bottom w:w="0" w:type="dxa"/>
            <w:right w:w="108" w:type="dxa"/>
          </w:tblCellMar>
        </w:tblPrEx>
        <w:trPr>
          <w:cantSplit/>
          <w:trHeight w:val="141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extDirection w:val="tbRl"/>
            <w:vAlign w:val="center"/>
          </w:tcPr>
          <w:p>
            <w:pPr>
              <w:pStyle w:val="9"/>
              <w:widowControl w:val="0"/>
              <w:spacing w:line="240" w:lineRule="exact"/>
              <w:ind w:left="113" w:right="113" w:firstLine="0"/>
              <w:jc w:val="center"/>
              <w:rPr>
                <w:b/>
                <w:color w:val="000000" w:themeColor="text1"/>
                <w:szCs w:val="21"/>
              </w:rPr>
            </w:pPr>
            <w:r>
              <w:rPr>
                <w:b/>
                <w:color w:val="000000" w:themeColor="text1"/>
                <w:szCs w:val="21"/>
              </w:rPr>
              <w:t>(四)监视测量方面</w:t>
            </w: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ind w:left="100" w:hanging="100"/>
              <w:rPr>
                <w:b/>
                <w:color w:val="000000" w:themeColor="text1"/>
                <w:sz w:val="20"/>
                <w:szCs w:val="20"/>
              </w:rPr>
            </w:pPr>
            <w:r>
              <w:rPr>
                <w:b/>
                <w:color w:val="000000" w:themeColor="text1"/>
                <w:sz w:val="20"/>
                <w:szCs w:val="20"/>
              </w:rPr>
              <w:t>1. .对质量/环境/职业健康安全目标指标进行定期监测/检查情况</w:t>
            </w:r>
          </w:p>
          <w:p>
            <w:pPr>
              <w:pStyle w:val="9"/>
              <w:widowControl w:val="0"/>
              <w:spacing w:line="280" w:lineRule="exact"/>
              <w:ind w:firstLine="420"/>
              <w:rPr>
                <w:rFonts w:cs="宋体" w:asciiTheme="minorEastAsia" w:hAnsiTheme="minorEastAsia"/>
                <w:szCs w:val="21"/>
              </w:rPr>
            </w:pPr>
            <w:r>
              <w:rPr>
                <w:rFonts w:cs="宋体" w:asciiTheme="minorEastAsia" w:hAnsiTheme="minorEastAsia"/>
                <w:szCs w:val="21"/>
              </w:rPr>
              <w:t>提供</w:t>
            </w:r>
            <w:r>
              <w:rPr>
                <w:rFonts w:hint="eastAsia" w:cs="宋体" w:asciiTheme="minorEastAsia" w:hAnsiTheme="minorEastAsia"/>
                <w:szCs w:val="21"/>
                <w:lang w:val="en-US" w:eastAsia="zh-CN"/>
              </w:rPr>
              <w:t>公司及</w:t>
            </w:r>
            <w:r>
              <w:rPr>
                <w:rFonts w:cs="宋体" w:asciiTheme="minorEastAsia" w:hAnsiTheme="minorEastAsia"/>
                <w:szCs w:val="21"/>
              </w:rPr>
              <w:t>各部门质量</w:t>
            </w:r>
            <w:r>
              <w:rPr>
                <w:rFonts w:hint="eastAsia" w:cs="宋体" w:asciiTheme="minorEastAsia" w:hAnsiTheme="minorEastAsia"/>
                <w:szCs w:val="21"/>
                <w:lang w:eastAsia="zh-CN"/>
              </w:rPr>
              <w:t>、</w:t>
            </w:r>
            <w:r>
              <w:rPr>
                <w:rFonts w:hint="eastAsia" w:cs="宋体" w:asciiTheme="minorEastAsia" w:hAnsiTheme="minorEastAsia"/>
                <w:szCs w:val="21"/>
                <w:lang w:val="en-US" w:eastAsia="zh-CN"/>
              </w:rPr>
              <w:t>环境和职业健康安全</w:t>
            </w:r>
            <w:r>
              <w:rPr>
                <w:rFonts w:cs="宋体" w:asciiTheme="minorEastAsia" w:hAnsiTheme="minorEastAsia"/>
                <w:szCs w:val="21"/>
              </w:rPr>
              <w:t>目标分解文件，明确考核方法、周期和考核人；</w:t>
            </w:r>
          </w:p>
          <w:p>
            <w:pPr>
              <w:spacing w:line="28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与公司管理方针一致；可测量。</w:t>
            </w:r>
          </w:p>
          <w:p>
            <w:pPr>
              <w:spacing w:line="280" w:lineRule="exact"/>
              <w:ind w:firstLine="420" w:firstLineChars="200"/>
              <w:rPr>
                <w:rFonts w:hint="eastAsia" w:cs="宋体" w:asciiTheme="minorEastAsia" w:hAnsiTheme="minorEastAsia" w:eastAsiaTheme="minorEastAsia"/>
                <w:szCs w:val="21"/>
                <w:highlight w:val="none"/>
                <w:lang w:eastAsia="zh-CN"/>
              </w:rPr>
            </w:pPr>
            <w:r>
              <w:rPr>
                <w:rFonts w:hint="eastAsia" w:cs="宋体" w:asciiTheme="minorEastAsia" w:hAnsiTheme="minorEastAsia" w:eastAsiaTheme="minorEastAsia"/>
                <w:szCs w:val="21"/>
                <w:highlight w:val="none"/>
              </w:rPr>
              <w:t>2021.02-2021.07月份</w:t>
            </w:r>
            <w:r>
              <w:rPr>
                <w:rFonts w:hint="eastAsia" w:cs="宋体" w:asciiTheme="minorEastAsia" w:hAnsiTheme="minorEastAsia" w:eastAsiaTheme="minorEastAsia"/>
                <w:szCs w:val="21"/>
                <w:highlight w:val="none"/>
                <w:lang w:val="en-US" w:eastAsia="zh-CN"/>
              </w:rPr>
              <w:t>公司</w:t>
            </w:r>
            <w:r>
              <w:rPr>
                <w:rFonts w:hint="eastAsia" w:cs="宋体" w:asciiTheme="minorEastAsia" w:hAnsiTheme="minorEastAsia" w:eastAsiaTheme="minorEastAsia"/>
                <w:szCs w:val="21"/>
                <w:highlight w:val="none"/>
              </w:rPr>
              <w:t>管理目标完成统计表，目标、指示达成</w:t>
            </w:r>
            <w:r>
              <w:rPr>
                <w:rFonts w:hint="eastAsia" w:cs="宋体" w:asciiTheme="minorEastAsia" w:hAnsiTheme="minorEastAsia" w:eastAsiaTheme="minorEastAsia"/>
                <w:szCs w:val="21"/>
                <w:highlight w:val="none"/>
                <w:lang w:eastAsia="zh-CN"/>
              </w:rPr>
              <w:t>：</w:t>
            </w:r>
          </w:p>
          <w:p>
            <w:pPr>
              <w:spacing w:line="280" w:lineRule="exact"/>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有</w:t>
            </w:r>
            <w:r>
              <w:rPr>
                <w:rFonts w:hint="eastAsia" w:cs="宋体" w:asciiTheme="minorEastAsia" w:hAnsiTheme="minorEastAsia" w:eastAsiaTheme="minorEastAsia"/>
                <w:szCs w:val="21"/>
              </w:rPr>
              <w:t>目标、指标及管理方案一览表</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方案明确目标、指标、方案及检查方法、责任部门、资金预算 周期及完成日期；</w:t>
            </w:r>
          </w:p>
          <w:p>
            <w:pPr>
              <w:ind w:firstLine="420" w:firstLineChars="200"/>
              <w:jc w:val="left"/>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环境方案：2项   火灾和</w:t>
            </w:r>
            <w:r>
              <w:rPr>
                <w:rFonts w:hint="eastAsia" w:ascii="宋体" w:hAnsi="宋体"/>
              </w:rPr>
              <w:t>节能降</w:t>
            </w:r>
            <w:r>
              <w:rPr>
                <w:rFonts w:hint="eastAsia" w:ascii="宋体" w:hAnsi="宋体"/>
                <w:lang w:val="en-US" w:eastAsia="zh-CN"/>
              </w:rPr>
              <w:t>耗</w:t>
            </w:r>
            <w:r>
              <w:rPr>
                <w:rFonts w:hint="eastAsia" w:ascii="宋体" w:hAnsi="宋体"/>
              </w:rPr>
              <w:t>固废排放</w:t>
            </w:r>
            <w:r>
              <w:rPr>
                <w:rFonts w:hint="eastAsia" w:cs="宋体" w:asciiTheme="minorEastAsia" w:hAnsiTheme="minorEastAsia" w:eastAsiaTheme="minorEastAsia"/>
                <w:szCs w:val="21"/>
                <w:lang w:val="en-US" w:eastAsia="zh-CN"/>
              </w:rPr>
              <w:t>；</w:t>
            </w:r>
          </w:p>
          <w:p>
            <w:pPr>
              <w:ind w:firstLine="420" w:firstLineChars="200"/>
              <w:jc w:val="left"/>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职业健康安全：2项  火灾和意外伤害</w:t>
            </w:r>
          </w:p>
          <w:p>
            <w:pPr>
              <w:pStyle w:val="9"/>
              <w:widowControl w:val="0"/>
              <w:spacing w:line="280" w:lineRule="exact"/>
              <w:ind w:firstLine="420"/>
              <w:rPr>
                <w:rFonts w:cs="宋体" w:asciiTheme="minorEastAsia" w:hAnsiTheme="minorEastAsia" w:eastAsiaTheme="minorEastAsia"/>
                <w:szCs w:val="21"/>
              </w:rPr>
            </w:pPr>
            <w:r>
              <w:rPr>
                <w:rFonts w:hint="eastAsia" w:cs="宋体" w:asciiTheme="minorEastAsia" w:hAnsiTheme="minorEastAsia" w:eastAsiaTheme="minorEastAsia"/>
                <w:szCs w:val="21"/>
                <w:highlight w:val="none"/>
                <w:lang w:val="en-US" w:eastAsia="zh-CN"/>
              </w:rPr>
              <w:t>明确负责各相关部门负责进行方案执行跟进，按方案执行。</w:t>
            </w:r>
          </w:p>
          <w:p>
            <w:pPr>
              <w:pStyle w:val="9"/>
              <w:widowControl w:val="0"/>
              <w:spacing w:line="240" w:lineRule="exact"/>
              <w:ind w:firstLine="100"/>
              <w:rPr>
                <w:b/>
                <w:color w:val="000000" w:themeColor="text1"/>
                <w:sz w:val="20"/>
                <w:szCs w:val="20"/>
              </w:rPr>
            </w:pPr>
          </w:p>
        </w:tc>
      </w:tr>
      <w:tr>
        <w:tblPrEx>
          <w:tblCellMar>
            <w:top w:w="0" w:type="dxa"/>
            <w:left w:w="108" w:type="dxa"/>
            <w:bottom w:w="0" w:type="dxa"/>
            <w:right w:w="108" w:type="dxa"/>
          </w:tblCellMar>
        </w:tblPrEx>
        <w:trPr>
          <w:cantSplit/>
          <w:trHeight w:val="141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9"/>
              <w:widowControl w:val="0"/>
              <w:spacing w:line="240" w:lineRule="exact"/>
              <w:ind w:left="113" w:right="113" w:firstLine="0"/>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ind w:left="100" w:hanging="100"/>
              <w:rPr>
                <w:b/>
                <w:color w:val="000000" w:themeColor="text1"/>
                <w:sz w:val="20"/>
                <w:szCs w:val="20"/>
              </w:rPr>
            </w:pPr>
            <w:r>
              <w:rPr>
                <w:b/>
                <w:color w:val="000000" w:themeColor="text1"/>
                <w:sz w:val="20"/>
                <w:szCs w:val="20"/>
              </w:rPr>
              <w:t>2.顾客满意</w:t>
            </w:r>
          </w:p>
          <w:p>
            <w:pPr>
              <w:spacing w:line="360" w:lineRule="auto"/>
              <w:ind w:firstLine="420" w:firstLineChars="200"/>
              <w:rPr>
                <w:rFonts w:eastAsia="宋体" w:cs="宋体" w:asciiTheme="minorEastAsia" w:hAnsiTheme="minorEastAsia"/>
                <w:color w:val="auto"/>
                <w:kern w:val="2"/>
                <w:sz w:val="21"/>
                <w:szCs w:val="21"/>
                <w:lang w:val="en-US" w:eastAsia="zh-CN" w:bidi="ar-SA"/>
              </w:rPr>
            </w:pPr>
            <w:r>
              <w:rPr>
                <w:rFonts w:eastAsia="宋体" w:cs="宋体" w:asciiTheme="minorEastAsia" w:hAnsiTheme="minorEastAsia"/>
                <w:color w:val="auto"/>
                <w:kern w:val="2"/>
                <w:sz w:val="21"/>
                <w:szCs w:val="21"/>
                <w:lang w:val="en-US" w:eastAsia="zh-CN" w:bidi="ar-SA"/>
              </w:rPr>
              <w:t>企业主要通过开展顾客满意度调查来收集并了解顾客满意的信息，提供《顾客满意度调查记录表》，调查包含：质量、交货期、服务、价格等指标，满意程度分为很满意---不满意等四个档次，20</w:t>
            </w:r>
            <w:r>
              <w:rPr>
                <w:rFonts w:hint="eastAsia" w:eastAsia="宋体" w:cs="宋体" w:asciiTheme="minorEastAsia" w:hAnsiTheme="minorEastAsia"/>
                <w:color w:val="auto"/>
                <w:kern w:val="2"/>
                <w:sz w:val="21"/>
                <w:szCs w:val="21"/>
                <w:lang w:val="en-US" w:eastAsia="zh-CN" w:bidi="ar-SA"/>
              </w:rPr>
              <w:t>21.5.12</w:t>
            </w:r>
            <w:r>
              <w:rPr>
                <w:rFonts w:eastAsia="宋体" w:cs="宋体" w:asciiTheme="minorEastAsia" w:hAnsiTheme="minorEastAsia"/>
                <w:color w:val="auto"/>
                <w:kern w:val="2"/>
                <w:sz w:val="21"/>
                <w:szCs w:val="21"/>
                <w:lang w:val="en-US" w:eastAsia="zh-CN" w:bidi="ar-SA"/>
              </w:rPr>
              <w:t>日对顾客满意度指标完成情况、顾客建议改进方向等予以分析汇总，经评价测算客户满意度得分9</w:t>
            </w:r>
            <w:r>
              <w:rPr>
                <w:rFonts w:hint="eastAsia" w:eastAsia="宋体" w:cs="宋体" w:asciiTheme="minorEastAsia" w:hAnsiTheme="minorEastAsia"/>
                <w:color w:val="auto"/>
                <w:kern w:val="2"/>
                <w:sz w:val="21"/>
                <w:szCs w:val="21"/>
                <w:lang w:val="en-US" w:eastAsia="zh-CN" w:bidi="ar-SA"/>
              </w:rPr>
              <w:t>6</w:t>
            </w:r>
            <w:r>
              <w:rPr>
                <w:rFonts w:eastAsia="宋体" w:cs="宋体" w:asciiTheme="minorEastAsia" w:hAnsiTheme="minorEastAsia"/>
                <w:color w:val="auto"/>
                <w:kern w:val="2"/>
                <w:sz w:val="21"/>
                <w:szCs w:val="21"/>
                <w:lang w:val="en-US" w:eastAsia="zh-CN" w:bidi="ar-SA"/>
              </w:rPr>
              <w:t>分。</w:t>
            </w:r>
          </w:p>
          <w:p>
            <w:pPr>
              <w:pStyle w:val="9"/>
              <w:widowControl w:val="0"/>
              <w:ind w:left="105" w:firstLine="420"/>
              <w:rPr>
                <w:b/>
                <w:color w:val="000000" w:themeColor="text1"/>
                <w:sz w:val="20"/>
                <w:szCs w:val="20"/>
              </w:rPr>
            </w:pPr>
            <w:r>
              <w:rPr>
                <w:rFonts w:eastAsia="宋体" w:cs="宋体" w:asciiTheme="minorEastAsia" w:hAnsiTheme="minorEastAsia"/>
                <w:color w:val="auto"/>
                <w:kern w:val="2"/>
                <w:sz w:val="21"/>
                <w:szCs w:val="21"/>
                <w:lang w:val="en-US" w:eastAsia="zh-CN" w:bidi="ar-SA"/>
              </w:rPr>
              <w:t>经交流及现场检查体系运行至今未发生投诉情况</w:t>
            </w:r>
          </w:p>
        </w:tc>
      </w:tr>
      <w:tr>
        <w:tblPrEx>
          <w:tblCellMar>
            <w:top w:w="0" w:type="dxa"/>
            <w:left w:w="108" w:type="dxa"/>
            <w:bottom w:w="0" w:type="dxa"/>
            <w:right w:w="108" w:type="dxa"/>
          </w:tblCellMar>
        </w:tblPrEx>
        <w:trPr>
          <w:cantSplit/>
          <w:trHeight w:val="2117"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9"/>
              <w:widowControl w:val="0"/>
              <w:spacing w:line="240" w:lineRule="exact"/>
              <w:ind w:left="201" w:right="113" w:hanging="201"/>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b/>
                <w:color w:val="000000" w:themeColor="text1"/>
                <w:sz w:val="20"/>
                <w:szCs w:val="20"/>
              </w:rPr>
            </w:pPr>
            <w:r>
              <w:rPr>
                <w:b/>
                <w:color w:val="000000" w:themeColor="text1"/>
                <w:sz w:val="20"/>
                <w:szCs w:val="20"/>
              </w:rPr>
              <w:t>3. 内审（包括内审策划审核方案中考虑拟审核的过程和区域的状况和重要性）</w:t>
            </w:r>
          </w:p>
          <w:p>
            <w:pPr>
              <w:pStyle w:val="9"/>
              <w:widowControl w:val="0"/>
              <w:spacing w:line="240" w:lineRule="exact"/>
              <w:rPr>
                <w:b/>
                <w:color w:val="000000" w:themeColor="text1"/>
                <w:spacing w:val="-8"/>
                <w:sz w:val="20"/>
                <w:szCs w:val="20"/>
              </w:rPr>
            </w:pPr>
          </w:p>
          <w:p>
            <w:pPr>
              <w:pStyle w:val="9"/>
              <w:widowControl w:val="0"/>
              <w:spacing w:line="240" w:lineRule="exact"/>
              <w:rPr>
                <w:b/>
                <w:color w:val="000000" w:themeColor="text1"/>
                <w:sz w:val="20"/>
                <w:szCs w:val="20"/>
              </w:rPr>
            </w:pPr>
            <w:r>
              <w:rPr>
                <w:b/>
                <w:color w:val="000000" w:themeColor="text1"/>
                <w:sz w:val="20"/>
                <w:szCs w:val="20"/>
              </w:rPr>
              <w:t>了解内审的策划;</w:t>
            </w:r>
          </w:p>
          <w:p>
            <w:pPr>
              <w:pStyle w:val="9"/>
              <w:widowControl w:val="0"/>
              <w:spacing w:line="360" w:lineRule="auto"/>
              <w:jc w:val="left"/>
              <w:rPr>
                <w:b/>
                <w:color w:val="000000" w:themeColor="text1"/>
                <w:sz w:val="20"/>
                <w:szCs w:val="20"/>
              </w:rPr>
            </w:pPr>
            <w:r>
              <w:rPr>
                <w:b/>
                <w:color w:val="000000" w:themeColor="text1"/>
                <w:sz w:val="20"/>
                <w:szCs w:val="20"/>
              </w:rPr>
              <w:t xml:space="preserve"> </w:t>
            </w:r>
            <w:r>
              <w:rPr>
                <w:rFonts w:ascii="宋体" w:hAnsi="宋体" w:cs="宋体"/>
                <w:szCs w:val="22"/>
              </w:rPr>
              <w:t xml:space="preserve"> 每年一次，本次2021.</w:t>
            </w:r>
            <w:r>
              <w:rPr>
                <w:rFonts w:hint="eastAsia" w:ascii="宋体" w:hAnsi="宋体" w:cs="宋体"/>
                <w:szCs w:val="22"/>
                <w:lang w:val="en-US" w:eastAsia="zh-CN"/>
              </w:rPr>
              <w:t>6</w:t>
            </w:r>
            <w:r>
              <w:rPr>
                <w:rFonts w:ascii="宋体" w:hAnsi="宋体" w:cs="宋体"/>
                <w:szCs w:val="22"/>
              </w:rPr>
              <w:t>.</w:t>
            </w:r>
            <w:r>
              <w:rPr>
                <w:rFonts w:hint="eastAsia" w:ascii="宋体" w:hAnsi="宋体" w:cs="宋体"/>
                <w:szCs w:val="22"/>
                <w:lang w:val="en-US" w:eastAsia="zh-CN"/>
              </w:rPr>
              <w:t>1</w:t>
            </w:r>
            <w:r>
              <w:rPr>
                <w:rFonts w:ascii="宋体" w:hAnsi="宋体" w:cs="宋体"/>
                <w:szCs w:val="22"/>
              </w:rPr>
              <w:t>日内审。</w:t>
            </w:r>
          </w:p>
          <w:p>
            <w:pPr>
              <w:pStyle w:val="9"/>
              <w:widowControl w:val="0"/>
              <w:spacing w:line="240" w:lineRule="exact"/>
              <w:rPr>
                <w:b/>
                <w:color w:val="000000" w:themeColor="text1"/>
                <w:sz w:val="20"/>
                <w:szCs w:val="20"/>
              </w:rPr>
            </w:pPr>
            <w:r>
              <w:rPr>
                <w:b/>
                <w:color w:val="000000" w:themeColor="text1"/>
                <w:sz w:val="20"/>
                <w:szCs w:val="20"/>
              </w:rPr>
              <w:t>了解内审是否覆盖了管理体系范围内的活动及标准的要求;</w:t>
            </w:r>
          </w:p>
          <w:p>
            <w:pPr>
              <w:pStyle w:val="9"/>
              <w:widowControl w:val="0"/>
              <w:spacing w:line="360" w:lineRule="auto"/>
              <w:ind w:firstLine="210"/>
              <w:rPr>
                <w:rFonts w:asciiTheme="minorEastAsia" w:hAnsiTheme="minorEastAsia" w:eastAsiaTheme="minorEastAsia"/>
                <w:szCs w:val="22"/>
              </w:rPr>
            </w:pPr>
            <w:r>
              <w:rPr>
                <w:rFonts w:asciiTheme="minorEastAsia" w:hAnsiTheme="minorEastAsia"/>
                <w:szCs w:val="22"/>
              </w:rPr>
              <w:t>覆盖。</w:t>
            </w:r>
          </w:p>
          <w:p>
            <w:pPr>
              <w:pStyle w:val="9"/>
              <w:widowControl w:val="0"/>
              <w:spacing w:line="240" w:lineRule="exact"/>
              <w:rPr>
                <w:b/>
                <w:color w:val="000000" w:themeColor="text1"/>
                <w:sz w:val="20"/>
                <w:szCs w:val="20"/>
              </w:rPr>
            </w:pPr>
            <w:r>
              <w:rPr>
                <w:b/>
                <w:color w:val="000000" w:themeColor="text1"/>
                <w:sz w:val="20"/>
                <w:szCs w:val="20"/>
              </w:rPr>
              <w:t>了解内审结论是什么？</w:t>
            </w:r>
          </w:p>
          <w:p>
            <w:pPr>
              <w:pStyle w:val="9"/>
              <w:widowControl w:val="0"/>
              <w:spacing w:line="240" w:lineRule="exact"/>
              <w:ind w:firstLine="420"/>
              <w:rPr>
                <w:b/>
                <w:color w:val="000000" w:themeColor="text1"/>
                <w:sz w:val="20"/>
                <w:szCs w:val="20"/>
              </w:rPr>
            </w:pPr>
            <w:r>
              <w:rPr>
                <w:rFonts w:hint="eastAsia" w:cs="宋体" w:asciiTheme="minorEastAsia" w:hAnsiTheme="minorEastAsia" w:eastAsiaTheme="minorEastAsia"/>
                <w:szCs w:val="21"/>
              </w:rPr>
              <w:t>本公司建立的质量、环境、职业健康安全管理体系符合GB/T19001-2016 、GB/T24001-2016、GB/T 45001-2020标准要求。方针、目标、指标的建立，符合本公司实际情况，并且包含了持续改进行承诺，在组织内各层次得到了传达和贯彻。本公司建立的质量、环境、职业健康安全管理体系得以有效运作。</w:t>
            </w:r>
          </w:p>
        </w:tc>
      </w:tr>
      <w:tr>
        <w:tblPrEx>
          <w:tblCellMar>
            <w:top w:w="0" w:type="dxa"/>
            <w:left w:w="108" w:type="dxa"/>
            <w:bottom w:w="0" w:type="dxa"/>
            <w:right w:w="108" w:type="dxa"/>
          </w:tblCellMar>
        </w:tblPrEx>
        <w:trPr>
          <w:cantSplit/>
          <w:trHeight w:val="182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9"/>
              <w:widowControl w:val="0"/>
              <w:spacing w:line="240" w:lineRule="exact"/>
              <w:ind w:left="201" w:right="113" w:hanging="201"/>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b/>
                <w:color w:val="000000" w:themeColor="text1"/>
                <w:sz w:val="20"/>
                <w:szCs w:val="20"/>
              </w:rPr>
            </w:pPr>
            <w:r>
              <w:rPr>
                <w:b/>
                <w:color w:val="000000" w:themeColor="text1"/>
                <w:sz w:val="20"/>
                <w:szCs w:val="20"/>
              </w:rPr>
              <w:t>4.管理评审（管理评审体系变更需求，纠正和预防措施、体系有效性等）</w:t>
            </w:r>
          </w:p>
          <w:p>
            <w:pPr>
              <w:pStyle w:val="9"/>
              <w:widowControl w:val="0"/>
              <w:spacing w:line="240" w:lineRule="exact"/>
              <w:rPr>
                <w:b/>
                <w:color w:val="000000" w:themeColor="text1"/>
                <w:sz w:val="20"/>
                <w:szCs w:val="20"/>
              </w:rPr>
            </w:pPr>
            <w:r>
              <w:rPr>
                <w:b/>
                <w:color w:val="000000" w:themeColor="text1"/>
                <w:sz w:val="20"/>
                <w:szCs w:val="20"/>
              </w:rPr>
              <w:t>了解管理评审的策划;</w:t>
            </w:r>
          </w:p>
          <w:p>
            <w:pPr>
              <w:pStyle w:val="9"/>
              <w:widowControl w:val="0"/>
              <w:spacing w:line="360" w:lineRule="auto"/>
              <w:ind w:firstLine="420"/>
              <w:jc w:val="left"/>
              <w:rPr>
                <w:rFonts w:ascii="宋体" w:hAnsi="宋体" w:cs="宋体"/>
                <w:szCs w:val="22"/>
              </w:rPr>
            </w:pPr>
            <w:r>
              <w:rPr>
                <w:rFonts w:ascii="宋体" w:hAnsi="宋体" w:cs="宋体"/>
                <w:szCs w:val="22"/>
              </w:rPr>
              <w:t>每年一次，2021.</w:t>
            </w:r>
            <w:r>
              <w:rPr>
                <w:rFonts w:hint="eastAsia" w:ascii="宋体" w:hAnsi="宋体" w:cs="宋体"/>
                <w:szCs w:val="22"/>
                <w:lang w:val="en-US" w:eastAsia="zh-CN"/>
              </w:rPr>
              <w:t>6</w:t>
            </w:r>
            <w:r>
              <w:rPr>
                <w:rFonts w:ascii="宋体" w:hAnsi="宋体" w:cs="宋体"/>
                <w:szCs w:val="22"/>
              </w:rPr>
              <w:t>.</w:t>
            </w:r>
            <w:r>
              <w:rPr>
                <w:rFonts w:hint="eastAsia" w:ascii="宋体" w:hAnsi="宋体" w:cs="宋体"/>
                <w:szCs w:val="22"/>
                <w:lang w:val="en-US" w:eastAsia="zh-CN"/>
              </w:rPr>
              <w:t>15</w:t>
            </w:r>
            <w:r>
              <w:rPr>
                <w:rFonts w:ascii="宋体" w:hAnsi="宋体" w:cs="宋体"/>
                <w:szCs w:val="22"/>
              </w:rPr>
              <w:t>日管理评审。</w:t>
            </w:r>
          </w:p>
          <w:p>
            <w:pPr>
              <w:pStyle w:val="9"/>
              <w:widowControl w:val="0"/>
              <w:spacing w:line="240" w:lineRule="exact"/>
              <w:rPr>
                <w:b/>
                <w:color w:val="000000" w:themeColor="text1"/>
                <w:sz w:val="20"/>
                <w:szCs w:val="20"/>
              </w:rPr>
            </w:pPr>
            <w:r>
              <w:rPr>
                <w:b/>
                <w:color w:val="000000" w:themeColor="text1"/>
                <w:sz w:val="20"/>
                <w:szCs w:val="20"/>
              </w:rPr>
              <w:t>了解管理评审输入是否充分;</w:t>
            </w:r>
          </w:p>
          <w:p>
            <w:pPr>
              <w:pStyle w:val="9"/>
              <w:widowControl w:val="0"/>
              <w:spacing w:line="360" w:lineRule="auto"/>
              <w:ind w:firstLine="420"/>
              <w:jc w:val="left"/>
              <w:rPr>
                <w:rFonts w:ascii="宋体" w:hAnsi="宋体" w:cs="宋体"/>
                <w:szCs w:val="22"/>
              </w:rPr>
            </w:pPr>
            <w:r>
              <w:rPr>
                <w:rFonts w:ascii="宋体" w:hAnsi="宋体" w:cs="宋体"/>
                <w:szCs w:val="22"/>
              </w:rPr>
              <w:t>输入基本充分。</w:t>
            </w:r>
          </w:p>
          <w:p>
            <w:pPr>
              <w:pStyle w:val="9"/>
              <w:widowControl w:val="0"/>
              <w:spacing w:line="240" w:lineRule="exact"/>
              <w:rPr>
                <w:b/>
                <w:color w:val="000000" w:themeColor="text1"/>
                <w:sz w:val="20"/>
                <w:szCs w:val="20"/>
              </w:rPr>
            </w:pPr>
            <w:r>
              <w:rPr>
                <w:b/>
                <w:color w:val="000000" w:themeColor="text1"/>
                <w:sz w:val="20"/>
                <w:szCs w:val="20"/>
              </w:rPr>
              <w:t>了解管理评审结论;</w:t>
            </w:r>
          </w:p>
          <w:p>
            <w:pPr>
              <w:spacing w:line="280" w:lineRule="exact"/>
              <w:ind w:left="420" w:leftChars="200" w:firstLine="0" w:firstLineChars="0"/>
              <w:rPr>
                <w:rFonts w:hint="eastAsia" w:ascii="宋体" w:hAnsi="宋体" w:eastAsia="宋体"/>
                <w:color w:val="auto"/>
              </w:rPr>
            </w:pPr>
            <w:r>
              <w:rPr>
                <w:rFonts w:hint="eastAsia" w:ascii="宋体" w:hAnsi="宋体" w:eastAsia="宋体"/>
                <w:color w:val="auto"/>
              </w:rPr>
              <w:t>公司的质量/环境/职业健康安全方针是适宜的，</w:t>
            </w:r>
            <w:r>
              <w:rPr>
                <w:rFonts w:ascii="宋体" w:hAnsi="宋体" w:eastAsia="宋体"/>
                <w:color w:val="auto"/>
              </w:rPr>
              <w:t>公司制定的</w:t>
            </w:r>
            <w:r>
              <w:rPr>
                <w:rFonts w:hint="eastAsia" w:ascii="宋体" w:hAnsi="宋体" w:eastAsia="宋体"/>
                <w:color w:val="auto"/>
              </w:rPr>
              <w:t>质量/</w:t>
            </w:r>
            <w:r>
              <w:rPr>
                <w:rFonts w:ascii="宋体" w:hAnsi="宋体" w:eastAsia="宋体"/>
                <w:color w:val="auto"/>
              </w:rPr>
              <w:t>环境</w:t>
            </w:r>
            <w:r>
              <w:rPr>
                <w:rFonts w:hint="eastAsia" w:ascii="宋体" w:hAnsi="宋体" w:eastAsia="宋体"/>
                <w:color w:val="auto"/>
              </w:rPr>
              <w:t>/职业健康安全管理体系</w:t>
            </w:r>
          </w:p>
          <w:p>
            <w:pPr>
              <w:spacing w:line="280" w:lineRule="exact"/>
              <w:rPr>
                <w:rFonts w:asciiTheme="minorEastAsia" w:hAnsiTheme="minorEastAsia" w:eastAsiaTheme="minorEastAsia"/>
                <w:szCs w:val="21"/>
              </w:rPr>
            </w:pPr>
            <w:r>
              <w:rPr>
                <w:rFonts w:ascii="宋体" w:hAnsi="宋体" w:eastAsia="宋体"/>
                <w:color w:val="auto"/>
              </w:rPr>
              <w:t>符合</w:t>
            </w:r>
            <w:r>
              <w:rPr>
                <w:rFonts w:hint="eastAsia" w:ascii="Times New Roman" w:hAnsi="Times New Roman" w:eastAsia="宋体"/>
                <w:color w:val="auto"/>
                <w:kern w:val="2"/>
                <w:sz w:val="21"/>
                <w:szCs w:val="21"/>
              </w:rPr>
              <w:t>GB/T19001-2016、GB/T24001-2016、GB/T 45001-2020</w:t>
            </w:r>
            <w:r>
              <w:rPr>
                <w:rFonts w:hint="eastAsia" w:ascii="宋体" w:hAnsi="宋体" w:eastAsia="宋体"/>
                <w:color w:val="auto"/>
              </w:rPr>
              <w:t>标准</w:t>
            </w:r>
            <w:r>
              <w:rPr>
                <w:rFonts w:ascii="宋体" w:hAnsi="宋体" w:eastAsia="宋体"/>
                <w:color w:val="auto"/>
              </w:rPr>
              <w:t>要求，适用于当前公司的状况</w:t>
            </w:r>
            <w:r>
              <w:rPr>
                <w:rFonts w:hint="eastAsia" w:ascii="宋体" w:hAnsi="宋体" w:eastAsia="宋体"/>
                <w:color w:val="auto"/>
              </w:rPr>
              <w:t>，是适宜的、充分的和有效的</w:t>
            </w:r>
            <w:r>
              <w:rPr>
                <w:rFonts w:ascii="宋体" w:hAnsi="宋体" w:eastAsia="宋体"/>
                <w:color w:val="auto"/>
              </w:rPr>
              <w:t>。</w:t>
            </w:r>
            <w:r>
              <w:rPr>
                <w:rFonts w:hint="eastAsia" w:ascii="宋体" w:hAnsi="宋体" w:eastAsia="宋体"/>
                <w:color w:val="auto"/>
              </w:rPr>
              <w:t>现有的</w:t>
            </w:r>
            <w:r>
              <w:rPr>
                <w:rFonts w:ascii="宋体" w:hAnsi="宋体" w:eastAsia="宋体"/>
                <w:color w:val="auto"/>
              </w:rPr>
              <w:t>组织架构</w:t>
            </w:r>
            <w:r>
              <w:rPr>
                <w:rFonts w:hint="eastAsia" w:ascii="宋体" w:hAnsi="宋体" w:eastAsia="宋体"/>
                <w:color w:val="auto"/>
              </w:rPr>
              <w:t>符合公司的运行管理</w:t>
            </w:r>
            <w:r>
              <w:rPr>
                <w:rFonts w:ascii="宋体" w:hAnsi="宋体" w:eastAsia="宋体"/>
                <w:color w:val="auto"/>
              </w:rPr>
              <w:t>。</w:t>
            </w:r>
            <w:r>
              <w:rPr>
                <w:rFonts w:hint="eastAsia" w:ascii="宋体" w:hAnsi="宋体" w:eastAsia="宋体"/>
                <w:color w:val="auto"/>
              </w:rPr>
              <w:t>客户和</w:t>
            </w:r>
            <w:r>
              <w:rPr>
                <w:rFonts w:ascii="宋体" w:hAnsi="宋体" w:eastAsia="宋体"/>
                <w:color w:val="auto"/>
              </w:rPr>
              <w:t>相关方对公司的</w:t>
            </w:r>
            <w:r>
              <w:rPr>
                <w:rFonts w:hint="eastAsia" w:ascii="宋体" w:hAnsi="宋体" w:eastAsia="宋体"/>
                <w:color w:val="auto"/>
              </w:rPr>
              <w:t>质量/</w:t>
            </w:r>
            <w:r>
              <w:rPr>
                <w:rFonts w:ascii="宋体" w:hAnsi="宋体" w:eastAsia="宋体"/>
                <w:color w:val="auto"/>
              </w:rPr>
              <w:t>环境</w:t>
            </w:r>
            <w:r>
              <w:rPr>
                <w:rFonts w:hint="eastAsia" w:ascii="宋体" w:hAnsi="宋体" w:eastAsia="宋体"/>
                <w:color w:val="auto"/>
              </w:rPr>
              <w:t>/职业健康安全管理</w:t>
            </w:r>
            <w:r>
              <w:rPr>
                <w:rFonts w:ascii="宋体" w:hAnsi="宋体" w:eastAsia="宋体"/>
                <w:color w:val="auto"/>
              </w:rPr>
              <w:t>满意，公司将加大管理创新力度，争取超越</w:t>
            </w:r>
            <w:r>
              <w:rPr>
                <w:rFonts w:hint="eastAsia" w:ascii="宋体" w:hAnsi="宋体" w:eastAsia="宋体"/>
                <w:color w:val="auto"/>
              </w:rPr>
              <w:t>顾客和</w:t>
            </w:r>
            <w:r>
              <w:rPr>
                <w:rFonts w:ascii="宋体" w:hAnsi="宋体" w:eastAsia="宋体"/>
                <w:color w:val="auto"/>
              </w:rPr>
              <w:t>相关方的期望。审核思路的变化可以更有效的保证审核的广度和深度，纠正预防措施实施良好。</w:t>
            </w:r>
            <w:r>
              <w:rPr>
                <w:rFonts w:hint="eastAsia" w:ascii="宋体" w:hAnsi="宋体" w:eastAsia="宋体"/>
                <w:color w:val="auto"/>
              </w:rPr>
              <w:t>行政部</w:t>
            </w:r>
            <w:r>
              <w:rPr>
                <w:rFonts w:ascii="宋体" w:hAnsi="宋体" w:eastAsia="宋体"/>
                <w:color w:val="auto"/>
              </w:rPr>
              <w:t>已对公司相关的环境规律重新进行了登录和查核。公司目前的活动、服务符合涉及的相关</w:t>
            </w:r>
            <w:r>
              <w:rPr>
                <w:rFonts w:hint="eastAsia" w:ascii="宋体" w:hAnsi="宋体" w:eastAsia="宋体"/>
                <w:color w:val="auto"/>
              </w:rPr>
              <w:t>质量/</w:t>
            </w:r>
            <w:r>
              <w:rPr>
                <w:rFonts w:ascii="宋体" w:hAnsi="宋体" w:eastAsia="宋体"/>
                <w:color w:val="auto"/>
              </w:rPr>
              <w:t>环境</w:t>
            </w:r>
            <w:r>
              <w:rPr>
                <w:rFonts w:hint="eastAsia" w:ascii="宋体" w:hAnsi="宋体" w:eastAsia="宋体"/>
                <w:color w:val="auto"/>
              </w:rPr>
              <w:t>/职业健康安全管理</w:t>
            </w:r>
            <w:r>
              <w:rPr>
                <w:rFonts w:ascii="宋体" w:hAnsi="宋体" w:eastAsia="宋体"/>
                <w:color w:val="auto"/>
              </w:rPr>
              <w:t>法律法规的条款。在严格的管理下，没有发生重大</w:t>
            </w:r>
            <w:r>
              <w:rPr>
                <w:rFonts w:hint="eastAsia" w:ascii="宋体" w:hAnsi="宋体" w:eastAsia="宋体"/>
                <w:color w:val="auto"/>
              </w:rPr>
              <w:t>质量/</w:t>
            </w:r>
            <w:r>
              <w:rPr>
                <w:rFonts w:ascii="宋体" w:hAnsi="宋体" w:eastAsia="宋体"/>
                <w:color w:val="auto"/>
              </w:rPr>
              <w:t>环境</w:t>
            </w:r>
            <w:r>
              <w:rPr>
                <w:rFonts w:hint="eastAsia" w:ascii="宋体" w:hAnsi="宋体" w:eastAsia="宋体"/>
                <w:color w:val="auto"/>
              </w:rPr>
              <w:t>/职业健康安全</w:t>
            </w:r>
            <w:r>
              <w:rPr>
                <w:rFonts w:ascii="宋体" w:hAnsi="宋体" w:eastAsia="宋体"/>
                <w:color w:val="auto"/>
              </w:rPr>
              <w:t>事故。体系是有效的，</w:t>
            </w:r>
            <w:r>
              <w:rPr>
                <w:rFonts w:hint="eastAsia" w:ascii="宋体" w:hAnsi="宋体" w:eastAsia="宋体"/>
                <w:color w:val="auto"/>
              </w:rPr>
              <w:t>质量/</w:t>
            </w:r>
            <w:r>
              <w:rPr>
                <w:rFonts w:ascii="宋体" w:hAnsi="宋体" w:eastAsia="宋体"/>
                <w:color w:val="auto"/>
              </w:rPr>
              <w:t>环境</w:t>
            </w:r>
            <w:r>
              <w:rPr>
                <w:rFonts w:hint="eastAsia" w:ascii="宋体" w:hAnsi="宋体" w:eastAsia="宋体"/>
                <w:color w:val="auto"/>
              </w:rPr>
              <w:t>/职业健康安全</w:t>
            </w:r>
            <w:r>
              <w:rPr>
                <w:rFonts w:ascii="宋体" w:hAnsi="宋体" w:eastAsia="宋体"/>
                <w:color w:val="auto"/>
              </w:rPr>
              <w:t>绩效良好。</w:t>
            </w:r>
          </w:p>
          <w:p>
            <w:pPr>
              <w:pStyle w:val="9"/>
              <w:widowControl w:val="0"/>
              <w:spacing w:line="280" w:lineRule="exact"/>
              <w:ind w:firstLine="420"/>
              <w:rPr>
                <w:b/>
                <w:color w:val="000000" w:themeColor="text1"/>
                <w:sz w:val="20"/>
                <w:szCs w:val="20"/>
              </w:rPr>
            </w:pPr>
          </w:p>
        </w:tc>
      </w:tr>
      <w:tr>
        <w:tblPrEx>
          <w:tblCellMar>
            <w:top w:w="0" w:type="dxa"/>
            <w:left w:w="108" w:type="dxa"/>
            <w:bottom w:w="0" w:type="dxa"/>
            <w:right w:w="108" w:type="dxa"/>
          </w:tblCellMar>
        </w:tblPrEx>
        <w:trPr>
          <w:cantSplit/>
          <w:trHeight w:val="84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b/>
                <w:color w:val="000000" w:themeColor="text1"/>
                <w:sz w:val="20"/>
                <w:szCs w:val="20"/>
              </w:rPr>
            </w:pPr>
            <w:r>
              <w:rPr>
                <w:b/>
                <w:color w:val="000000" w:themeColor="text1"/>
                <w:sz w:val="20"/>
                <w:szCs w:val="20"/>
              </w:rPr>
              <w:t>5.  EMS是否按规定对主要污染物（污水、废气、噪声、废渣等）及排放实施了例行的监视或测量，结果是否满足相关要求？</w:t>
            </w:r>
          </w:p>
          <w:p>
            <w:pPr>
              <w:pStyle w:val="9"/>
              <w:widowControl w:val="0"/>
              <w:spacing w:line="240" w:lineRule="exact"/>
              <w:rPr>
                <w:b/>
                <w:color w:val="000000" w:themeColor="text1"/>
                <w:sz w:val="20"/>
                <w:szCs w:val="20"/>
              </w:rPr>
            </w:pPr>
            <w:r>
              <w:rPr>
                <w:szCs w:val="21"/>
              </w:rPr>
              <w:t>无</w:t>
            </w:r>
          </w:p>
        </w:tc>
      </w:tr>
      <w:tr>
        <w:tblPrEx>
          <w:tblCellMar>
            <w:top w:w="0" w:type="dxa"/>
            <w:left w:w="108" w:type="dxa"/>
            <w:bottom w:w="0" w:type="dxa"/>
            <w:right w:w="108" w:type="dxa"/>
          </w:tblCellMar>
        </w:tblPrEx>
        <w:trPr>
          <w:cantSplit/>
          <w:trHeight w:val="74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b/>
                <w:color w:val="000000" w:themeColor="text1"/>
                <w:sz w:val="20"/>
                <w:szCs w:val="20"/>
              </w:rPr>
            </w:pPr>
            <w:r>
              <w:rPr>
                <w:b/>
                <w:color w:val="000000" w:themeColor="text1"/>
                <w:sz w:val="20"/>
                <w:szCs w:val="20"/>
              </w:rPr>
              <w:t>6.  EMS国家/地方环保部门监测结果、新改扩建项目符合环评报告、三同时验收报告要求情况及措施</w:t>
            </w:r>
          </w:p>
          <w:p>
            <w:pPr>
              <w:pStyle w:val="9"/>
              <w:widowControl w:val="0"/>
              <w:spacing w:line="240" w:lineRule="exact"/>
              <w:rPr>
                <w:b/>
                <w:color w:val="000000" w:themeColor="text1"/>
                <w:sz w:val="20"/>
                <w:szCs w:val="20"/>
              </w:rPr>
            </w:pPr>
            <w:r>
              <w:rPr>
                <w:szCs w:val="21"/>
              </w:rPr>
              <w:t>无</w:t>
            </w:r>
          </w:p>
        </w:tc>
      </w:tr>
      <w:tr>
        <w:tblPrEx>
          <w:tblCellMar>
            <w:top w:w="0" w:type="dxa"/>
            <w:left w:w="108" w:type="dxa"/>
            <w:bottom w:w="0" w:type="dxa"/>
            <w:right w:w="108" w:type="dxa"/>
          </w:tblCellMar>
        </w:tblPrEx>
        <w:trPr>
          <w:cantSplit/>
          <w:trHeight w:val="83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300" w:lineRule="exact"/>
              <w:rPr>
                <w:b/>
                <w:color w:val="000000" w:themeColor="text1"/>
                <w:sz w:val="20"/>
                <w:szCs w:val="20"/>
              </w:rPr>
            </w:pPr>
            <w:r>
              <w:rPr>
                <w:b/>
                <w:color w:val="000000" w:themeColor="text1"/>
                <w:sz w:val="20"/>
                <w:szCs w:val="20"/>
              </w:rPr>
              <w:t>7. OHSMS是否按规定对职业健康安全项目进行定期测量，结果是否满足相关要求：</w:t>
            </w:r>
          </w:p>
          <w:p>
            <w:pPr>
              <w:pStyle w:val="9"/>
              <w:widowControl w:val="0"/>
              <w:spacing w:line="300" w:lineRule="exact"/>
              <w:rPr>
                <w:b/>
                <w:color w:val="000000" w:themeColor="text1"/>
                <w:sz w:val="20"/>
                <w:szCs w:val="20"/>
              </w:rPr>
            </w:pPr>
            <w:r>
              <w:rPr>
                <w:szCs w:val="21"/>
              </w:rPr>
              <w:t>无</w:t>
            </w:r>
          </w:p>
          <w:p>
            <w:pPr>
              <w:pStyle w:val="9"/>
              <w:widowControl w:val="0"/>
              <w:spacing w:line="240" w:lineRule="exact"/>
              <w:rPr>
                <w:b/>
                <w:color w:val="000000" w:themeColor="text1"/>
                <w:sz w:val="20"/>
                <w:szCs w:val="20"/>
              </w:rPr>
            </w:pPr>
          </w:p>
        </w:tc>
      </w:tr>
      <w:tr>
        <w:tblPrEx>
          <w:tblCellMar>
            <w:top w:w="0" w:type="dxa"/>
            <w:left w:w="108" w:type="dxa"/>
            <w:bottom w:w="0" w:type="dxa"/>
            <w:right w:w="108" w:type="dxa"/>
          </w:tblCellMar>
        </w:tblPrEx>
        <w:trPr>
          <w:cantSplit/>
          <w:trHeight w:val="61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b/>
                <w:color w:val="000000" w:themeColor="text1"/>
                <w:sz w:val="20"/>
                <w:szCs w:val="20"/>
              </w:rPr>
            </w:pPr>
            <w:r>
              <w:rPr>
                <w:b/>
                <w:color w:val="000000" w:themeColor="text1"/>
                <w:sz w:val="20"/>
                <w:szCs w:val="20"/>
              </w:rPr>
              <w:t>8.OHSMS国家/地方职业健康安全部门监督检查情况及措施</w:t>
            </w:r>
          </w:p>
          <w:p>
            <w:pPr>
              <w:pStyle w:val="9"/>
              <w:widowControl w:val="0"/>
              <w:spacing w:line="240" w:lineRule="exact"/>
              <w:rPr>
                <w:b/>
                <w:color w:val="000000" w:themeColor="text1"/>
                <w:sz w:val="20"/>
                <w:szCs w:val="20"/>
              </w:rPr>
            </w:pPr>
            <w:r>
              <w:rPr>
                <w:szCs w:val="21"/>
              </w:rPr>
              <w:t>无</w:t>
            </w:r>
          </w:p>
        </w:tc>
      </w:tr>
      <w:tr>
        <w:tblPrEx>
          <w:tblCellMar>
            <w:top w:w="0" w:type="dxa"/>
            <w:left w:w="108" w:type="dxa"/>
            <w:bottom w:w="0" w:type="dxa"/>
            <w:right w:w="108" w:type="dxa"/>
          </w:tblCellMar>
        </w:tblPrEx>
        <w:trPr>
          <w:cantSplit/>
          <w:trHeight w:val="85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b/>
                <w:color w:val="000000" w:themeColor="text1"/>
                <w:sz w:val="20"/>
                <w:szCs w:val="20"/>
              </w:rPr>
            </w:pPr>
            <w:r>
              <w:rPr>
                <w:b/>
                <w:color w:val="000000" w:themeColor="text1"/>
                <w:sz w:val="20"/>
                <w:szCs w:val="20"/>
              </w:rPr>
              <w:t>9. 其他能够标明组织绩效、信誉的证据/信息：</w:t>
            </w:r>
          </w:p>
          <w:p>
            <w:pPr>
              <w:pStyle w:val="9"/>
              <w:widowControl w:val="0"/>
              <w:spacing w:line="240" w:lineRule="exact"/>
              <w:rPr>
                <w:b/>
                <w:color w:val="000000" w:themeColor="text1"/>
                <w:sz w:val="20"/>
                <w:szCs w:val="20"/>
              </w:rPr>
            </w:pPr>
            <w:r>
              <w:rPr>
                <w:szCs w:val="21"/>
              </w:rPr>
              <w:t>无</w:t>
            </w:r>
          </w:p>
        </w:tc>
      </w:tr>
      <w:tr>
        <w:tblPrEx>
          <w:tblCellMar>
            <w:top w:w="0" w:type="dxa"/>
            <w:left w:w="108" w:type="dxa"/>
            <w:bottom w:w="0" w:type="dxa"/>
            <w:right w:w="108" w:type="dxa"/>
          </w:tblCellMar>
        </w:tblPrEx>
        <w:trPr>
          <w:cantSplit/>
          <w:trHeight w:val="928"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ind w:left="113" w:firstLine="0"/>
              <w:jc w:val="center"/>
              <w:rPr>
                <w:b/>
                <w:color w:val="000000" w:themeColor="text1"/>
                <w:sz w:val="20"/>
              </w:rPr>
            </w:pPr>
            <w:r>
              <w:rPr>
                <w:b/>
                <w:color w:val="000000" w:themeColor="text1"/>
                <w:sz w:val="20"/>
              </w:rPr>
              <w:t>(五)持续改进</w:t>
            </w: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b/>
                <w:color w:val="000000" w:themeColor="text1"/>
                <w:sz w:val="20"/>
                <w:szCs w:val="20"/>
              </w:rPr>
            </w:pPr>
            <w:r>
              <w:rPr>
                <w:b/>
                <w:color w:val="000000" w:themeColor="text1"/>
                <w:sz w:val="20"/>
                <w:szCs w:val="20"/>
              </w:rPr>
              <w:t>1 纠正/预防措施的实施及效果</w:t>
            </w:r>
            <w:r>
              <w:rPr>
                <w:b/>
                <w:color w:val="000000" w:themeColor="text1"/>
                <w:spacing w:val="-8"/>
                <w:sz w:val="20"/>
                <w:szCs w:val="20"/>
              </w:rPr>
              <w:t>;</w:t>
            </w:r>
          </w:p>
          <w:p>
            <w:pPr>
              <w:pStyle w:val="9"/>
              <w:widowControl w:val="0"/>
              <w:spacing w:line="240" w:lineRule="exact"/>
              <w:ind w:firstLine="420"/>
              <w:rPr>
                <w:b/>
                <w:color w:val="000000" w:themeColor="text1"/>
                <w:sz w:val="20"/>
                <w:szCs w:val="20"/>
              </w:rPr>
            </w:pPr>
            <w:r>
              <w:rPr>
                <w:bCs/>
                <w:color w:val="000000" w:themeColor="text1"/>
                <w:szCs w:val="21"/>
              </w:rPr>
              <w:t>公司对纠正预防措施识别、评审、验证，事故事件报告、调查、处理等作了规定，其内容符合组织实际及标准要求。针对内审管理评审提出的问题已采取了纠正措施。</w:t>
            </w:r>
          </w:p>
        </w:tc>
      </w:tr>
      <w:tr>
        <w:tblPrEx>
          <w:tblCellMar>
            <w:top w:w="0" w:type="dxa"/>
            <w:left w:w="108" w:type="dxa"/>
            <w:bottom w:w="0" w:type="dxa"/>
            <w:right w:w="108" w:type="dxa"/>
          </w:tblCellMar>
        </w:tblPrEx>
        <w:trPr>
          <w:cantSplit/>
          <w:trHeight w:val="76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b/>
                <w:color w:val="000000" w:themeColor="text1"/>
                <w:spacing w:val="-20"/>
                <w:sz w:val="20"/>
                <w:szCs w:val="20"/>
              </w:rPr>
            </w:pPr>
            <w:r>
              <w:rPr>
                <w:b/>
                <w:color w:val="000000" w:themeColor="text1"/>
                <w:spacing w:val="-20"/>
                <w:sz w:val="20"/>
                <w:szCs w:val="20"/>
              </w:rPr>
              <w:t>2（近一年）重大事故、顾客/相关方投诉：：</w:t>
            </w:r>
          </w:p>
          <w:p>
            <w:pPr>
              <w:pStyle w:val="9"/>
              <w:widowControl w:val="0"/>
              <w:spacing w:line="240" w:lineRule="exact"/>
              <w:rPr>
                <w:b/>
                <w:color w:val="000000" w:themeColor="text1"/>
                <w:spacing w:val="-20"/>
                <w:sz w:val="20"/>
                <w:szCs w:val="20"/>
              </w:rPr>
            </w:pPr>
          </w:p>
          <w:p>
            <w:pPr>
              <w:pStyle w:val="9"/>
              <w:widowControl w:val="0"/>
              <w:spacing w:line="240" w:lineRule="exact"/>
              <w:rPr>
                <w:b/>
                <w:color w:val="000000" w:themeColor="text1"/>
                <w:sz w:val="20"/>
                <w:szCs w:val="20"/>
              </w:rPr>
            </w:pPr>
            <w:r>
              <w:rPr>
                <w:bCs/>
                <w:color w:val="000000" w:themeColor="text1"/>
                <w:szCs w:val="21"/>
              </w:rPr>
              <w:t>未发生。</w:t>
            </w:r>
          </w:p>
        </w:tc>
      </w:tr>
      <w:tr>
        <w:tblPrEx>
          <w:tblCellMar>
            <w:top w:w="0" w:type="dxa"/>
            <w:left w:w="108" w:type="dxa"/>
            <w:bottom w:w="0" w:type="dxa"/>
            <w:right w:w="108" w:type="dxa"/>
          </w:tblCellMar>
        </w:tblPrEx>
        <w:trPr>
          <w:cantSplit/>
          <w:trHeight w:val="62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b/>
                <w:color w:val="000000" w:themeColor="text1"/>
                <w:sz w:val="20"/>
                <w:szCs w:val="20"/>
              </w:rPr>
            </w:pPr>
            <w:r>
              <w:rPr>
                <w:b/>
                <w:color w:val="000000" w:themeColor="text1"/>
                <w:sz w:val="20"/>
                <w:szCs w:val="20"/>
              </w:rPr>
              <w:t>3. 一阶段提出问题的整改情况?</w:t>
            </w:r>
          </w:p>
          <w:p>
            <w:pPr>
              <w:pStyle w:val="9"/>
              <w:widowControl w:val="0"/>
              <w:spacing w:line="240" w:lineRule="exact"/>
              <w:rPr>
                <w:b/>
                <w:color w:val="000000" w:themeColor="text1"/>
                <w:spacing w:val="-20"/>
                <w:sz w:val="20"/>
                <w:szCs w:val="20"/>
              </w:rPr>
            </w:pPr>
            <w:r>
              <w:rPr>
                <w:bCs/>
                <w:color w:val="000000" w:themeColor="text1"/>
                <w:spacing w:val="-20"/>
                <w:szCs w:val="21"/>
              </w:rPr>
              <w:t>一阶段提出的问题已整改完成。</w:t>
            </w:r>
          </w:p>
        </w:tc>
      </w:tr>
      <w:tr>
        <w:tblPrEx>
          <w:tblCellMar>
            <w:top w:w="0" w:type="dxa"/>
            <w:left w:w="108" w:type="dxa"/>
            <w:bottom w:w="0" w:type="dxa"/>
            <w:right w:w="108" w:type="dxa"/>
          </w:tblCellMar>
        </w:tblPrEx>
        <w:trPr>
          <w:cantSplit/>
          <w:trHeight w:val="63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b/>
                <w:color w:val="000000" w:themeColor="text1"/>
                <w:sz w:val="20"/>
                <w:szCs w:val="20"/>
              </w:rPr>
            </w:pPr>
            <w:r>
              <w:rPr>
                <w:b/>
                <w:color w:val="000000" w:themeColor="text1"/>
                <w:sz w:val="20"/>
                <w:szCs w:val="20"/>
              </w:rPr>
              <w:t>4.创新情况</w:t>
            </w:r>
          </w:p>
          <w:p>
            <w:pPr>
              <w:pStyle w:val="9"/>
              <w:widowControl w:val="0"/>
              <w:spacing w:line="240" w:lineRule="exact"/>
              <w:rPr>
                <w:b/>
                <w:color w:val="000000" w:themeColor="text1"/>
                <w:sz w:val="20"/>
                <w:szCs w:val="20"/>
              </w:rPr>
            </w:pPr>
            <w:r>
              <w:rPr>
                <w:szCs w:val="21"/>
              </w:rPr>
              <w:t>无。</w:t>
            </w:r>
          </w:p>
        </w:tc>
      </w:tr>
      <w:tr>
        <w:tblPrEx>
          <w:tblCellMar>
            <w:top w:w="0" w:type="dxa"/>
            <w:left w:w="108" w:type="dxa"/>
            <w:bottom w:w="0" w:type="dxa"/>
            <w:right w:w="108" w:type="dxa"/>
          </w:tblCellMar>
        </w:tblPrEx>
        <w:trPr>
          <w:cantSplit/>
          <w:trHeight w:val="53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9"/>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9"/>
              <w:widowControl w:val="0"/>
              <w:spacing w:line="240" w:lineRule="exact"/>
              <w:rPr>
                <w:b/>
                <w:color w:val="000000" w:themeColor="text1"/>
                <w:szCs w:val="21"/>
              </w:rPr>
            </w:pPr>
            <w:r>
              <w:rPr>
                <w:b/>
                <w:color w:val="000000" w:themeColor="text1"/>
                <w:szCs w:val="21"/>
              </w:rPr>
              <w:t>5. 上次不符合的整改情况（再认证填写）</w:t>
            </w:r>
          </w:p>
        </w:tc>
      </w:tr>
    </w:tbl>
    <w:p>
      <w:pPr>
        <w:pStyle w:val="9"/>
        <w:spacing w:line="360" w:lineRule="auto"/>
        <w:ind w:left="1" w:hanging="992"/>
        <w:rPr>
          <w:b/>
          <w:color w:val="000000" w:themeColor="text1"/>
          <w:sz w:val="20"/>
        </w:rPr>
      </w:pPr>
      <w:r>
        <w:rPr>
          <w:b/>
          <w:color w:val="000000" w:themeColor="text1"/>
          <w:sz w:val="26"/>
          <w:szCs w:val="26"/>
        </w:rPr>
        <w:t>七、本次审核不符合项</w:t>
      </w:r>
    </w:p>
    <w:p>
      <w:pPr>
        <w:pStyle w:val="9"/>
        <w:tabs>
          <w:tab w:val="left" w:pos="9072"/>
        </w:tabs>
        <w:spacing w:line="360" w:lineRule="auto"/>
        <w:ind w:left="-993" w:firstLine="2"/>
        <w:rPr>
          <w:b/>
          <w:color w:val="000000" w:themeColor="text1"/>
        </w:rPr>
      </w:pPr>
      <w:r>
        <w:rPr>
          <w:b/>
          <w:color w:val="000000" w:themeColor="text1"/>
        </w:rPr>
        <w:t>1. 本次审核共开具不符合项报告1项；其中严重不符合0项，一般不符合1项，观察项</w:t>
      </w:r>
      <w:r>
        <w:rPr>
          <w:rFonts w:hint="eastAsia"/>
          <w:b/>
          <w:color w:val="000000" w:themeColor="text1"/>
          <w:lang w:val="en-US" w:eastAsia="zh-CN"/>
        </w:rPr>
        <w:t>0项，不符合项</w:t>
      </w:r>
      <w:r>
        <w:rPr>
          <w:b/>
          <w:color w:val="000000" w:themeColor="text1"/>
        </w:rPr>
        <w:t>分布在</w:t>
      </w:r>
      <w:r>
        <w:rPr>
          <w:rFonts w:hint="eastAsia"/>
          <w:b/>
          <w:color w:val="000000" w:themeColor="text1"/>
          <w:u w:val="single"/>
          <w:lang w:val="en-US" w:eastAsia="zh-CN"/>
        </w:rPr>
        <w:t>行政</w:t>
      </w:r>
      <w:r>
        <w:rPr>
          <w:b/>
          <w:color w:val="000000" w:themeColor="text1"/>
          <w:u w:val="single"/>
        </w:rPr>
        <w:t>部</w:t>
      </w:r>
      <w:r>
        <w:rPr>
          <w:b/>
          <w:color w:val="000000" w:themeColor="text1"/>
        </w:rPr>
        <w:t>部门</w:t>
      </w:r>
      <w:r>
        <w:rPr>
          <w:rFonts w:hint="eastAsia"/>
          <w:b/>
          <w:color w:val="000000" w:themeColor="text1"/>
          <w:u w:val="single"/>
          <w:lang w:val="en-US" w:eastAsia="zh-CN"/>
        </w:rPr>
        <w:t>Q</w:t>
      </w:r>
      <w:r>
        <w:rPr>
          <w:b/>
          <w:color w:val="000000" w:themeColor="text1"/>
          <w:u w:val="single"/>
        </w:rPr>
        <w:t>EO</w:t>
      </w:r>
      <w:r>
        <w:rPr>
          <w:rFonts w:hint="eastAsia"/>
          <w:b/>
          <w:color w:val="000000" w:themeColor="text1"/>
          <w:u w:val="single"/>
          <w:lang w:val="en-US" w:eastAsia="zh-CN"/>
        </w:rPr>
        <w:t>7</w:t>
      </w:r>
      <w:r>
        <w:rPr>
          <w:b/>
          <w:color w:val="000000" w:themeColor="text1"/>
          <w:u w:val="single"/>
        </w:rPr>
        <w:t>.</w:t>
      </w:r>
      <w:r>
        <w:rPr>
          <w:rFonts w:hint="eastAsia"/>
          <w:b/>
          <w:color w:val="000000" w:themeColor="text1"/>
          <w:u w:val="single"/>
          <w:lang w:val="en-US" w:eastAsia="zh-CN"/>
        </w:rPr>
        <w:t>2</w:t>
      </w:r>
      <w:r>
        <w:rPr>
          <w:b/>
          <w:color w:val="000000" w:themeColor="text1"/>
        </w:rPr>
        <w:t>条款，分布见附件。（Q/J/E/S分开填写）</w:t>
      </w:r>
    </w:p>
    <w:p>
      <w:pPr>
        <w:pStyle w:val="9"/>
        <w:tabs>
          <w:tab w:val="left" w:pos="215"/>
          <w:tab w:val="left" w:pos="430"/>
        </w:tabs>
        <w:spacing w:line="360" w:lineRule="auto"/>
        <w:ind w:left="-190" w:hanging="801"/>
        <w:rPr>
          <w:b/>
          <w:color w:val="000000" w:themeColor="text1"/>
        </w:rPr>
      </w:pPr>
      <w:r>
        <w:rPr>
          <w:b/>
          <w:bCs/>
          <w:color w:val="000000" w:themeColor="text1"/>
          <w:szCs w:val="28"/>
        </w:rPr>
        <w:t>2. 本次审核发现不符合及存在问题对管理体系实现目标的影响</w:t>
      </w:r>
      <w:r>
        <w:rPr>
          <w:b/>
          <w:color w:val="000000" w:themeColor="text1"/>
          <w:spacing w:val="-10"/>
          <w:szCs w:val="21"/>
        </w:rPr>
        <w:t>□</w:t>
      </w:r>
      <w:r>
        <w:rPr>
          <w:b/>
          <w:color w:val="000000" w:themeColor="text1"/>
        </w:rPr>
        <w:t>较大</w:t>
      </w:r>
      <w:r>
        <w:rPr>
          <w:rFonts w:ascii="MS Mincho" w:hAnsi="MS Mincho" w:eastAsia="MS Mincho" w:cs="MS Mincho"/>
          <w:b/>
          <w:color w:val="000000" w:themeColor="text1"/>
          <w:spacing w:val="-10"/>
          <w:szCs w:val="21"/>
        </w:rPr>
        <w:t>☑</w:t>
      </w:r>
      <w:r>
        <w:rPr>
          <w:b/>
          <w:color w:val="000000" w:themeColor="text1"/>
        </w:rPr>
        <w:t>不大</w:t>
      </w:r>
    </w:p>
    <w:p>
      <w:pPr>
        <w:pStyle w:val="9"/>
        <w:tabs>
          <w:tab w:val="left" w:pos="215"/>
          <w:tab w:val="left" w:pos="430"/>
        </w:tabs>
        <w:spacing w:line="360" w:lineRule="auto"/>
        <w:ind w:left="-190" w:hanging="801"/>
        <w:rPr>
          <w:b/>
          <w:color w:val="000000" w:themeColor="text1"/>
        </w:rPr>
      </w:pPr>
      <w:r>
        <w:rPr>
          <w:b/>
          <w:color w:val="000000" w:themeColor="text1"/>
        </w:rPr>
        <w:t>八、已识别出的任何未解决的问题：：</w:t>
      </w:r>
      <w:r>
        <w:rPr>
          <w:color w:val="000000" w:themeColor="text1"/>
          <w:u w:val="single"/>
        </w:rPr>
        <w:t>无。</w:t>
      </w:r>
    </w:p>
    <w:p>
      <w:pPr>
        <w:pStyle w:val="9"/>
        <w:snapToGrid w:val="0"/>
        <w:spacing w:line="360" w:lineRule="auto"/>
        <w:ind w:left="-191" w:hanging="517"/>
        <w:rPr>
          <w:rFonts w:ascii="宋体" w:hAnsi="宋体"/>
          <w:b/>
          <w:color w:val="000000" w:themeColor="text1"/>
          <w:szCs w:val="21"/>
        </w:rPr>
      </w:pPr>
      <w:r>
        <w:rPr>
          <w:b/>
          <w:color w:val="000000" w:themeColor="text1"/>
          <w:spacing w:val="-10"/>
          <w:szCs w:val="21"/>
        </w:rPr>
        <w:t>□</w:t>
      </w:r>
      <w:r>
        <w:rPr>
          <w:rFonts w:ascii="宋体" w:hAnsi="宋体"/>
          <w:b/>
          <w:color w:val="000000" w:themeColor="text1"/>
          <w:szCs w:val="21"/>
        </w:rPr>
        <w:t>可能影响本次审核结论可靠性的因素：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5"/>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5" w:type="dxa"/>
          </w:tcPr>
          <w:p>
            <w:pPr>
              <w:pStyle w:val="9"/>
              <w:widowControl w:val="0"/>
              <w:snapToGrid w:val="0"/>
              <w:spacing w:before="0" w:after="0" w:line="360" w:lineRule="auto"/>
              <w:rPr>
                <w:b/>
                <w:color w:val="000000" w:themeColor="text1"/>
                <w:spacing w:val="-10"/>
                <w:szCs w:val="21"/>
              </w:rPr>
            </w:pPr>
            <w:r>
              <w:rPr>
                <w:rFonts w:ascii="宋体" w:hAnsi="宋体" w:cs="Times New Roman"/>
                <w:b/>
                <w:color w:val="000000" w:themeColor="text1"/>
                <w:szCs w:val="21"/>
                <w:lang w:val="en-US" w:eastAsia="zh-CN" w:bidi="ar-SA"/>
              </w:rPr>
              <w:t>影响本次审核结论可靠性的因素</w:t>
            </w:r>
          </w:p>
        </w:tc>
        <w:tc>
          <w:tcPr>
            <w:tcW w:w="4819" w:type="dxa"/>
          </w:tcPr>
          <w:p>
            <w:pPr>
              <w:pStyle w:val="9"/>
              <w:widowControl w:val="0"/>
              <w:snapToGrid w:val="0"/>
              <w:spacing w:before="0" w:after="0" w:line="360" w:lineRule="auto"/>
              <w:rPr>
                <w:rFonts w:ascii="宋体" w:hAnsi="宋体"/>
                <w:b/>
                <w:color w:val="000000" w:themeColor="text1"/>
                <w:szCs w:val="21"/>
              </w:rPr>
            </w:pPr>
            <w:r>
              <w:rPr>
                <w:rFonts w:ascii="宋体" w:hAnsi="宋体" w:cs="Times New Roman"/>
                <w:b/>
                <w:color w:val="000000" w:themeColor="text1"/>
                <w:szCs w:val="21"/>
                <w:lang w:val="en-US" w:eastAsia="zh-CN" w:bidi="ar-S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5" w:type="dxa"/>
          </w:tcPr>
          <w:p>
            <w:pPr>
              <w:pStyle w:val="9"/>
              <w:widowControl w:val="0"/>
              <w:snapToGrid w:val="0"/>
              <w:spacing w:before="0" w:after="0" w:line="360" w:lineRule="auto"/>
              <w:rPr>
                <w:rFonts w:ascii="宋体" w:hAnsi="宋体"/>
                <w:b/>
                <w:color w:val="000000" w:themeColor="text1"/>
                <w:szCs w:val="21"/>
              </w:rPr>
            </w:pPr>
            <w:r>
              <w:rPr>
                <w:rFonts w:cs="Times New Roman"/>
                <w:b/>
                <w:color w:val="000000" w:themeColor="text1"/>
                <w:spacing w:val="-10"/>
                <w:szCs w:val="21"/>
                <w:lang w:val="en-US" w:eastAsia="zh-CN" w:bidi="ar-SA"/>
              </w:rPr>
              <w:t>□</w:t>
            </w:r>
            <w:r>
              <w:rPr>
                <w:rFonts w:ascii="宋体" w:hAnsi="宋体" w:cs="Times New Roman"/>
                <w:b/>
                <w:color w:val="000000" w:themeColor="text1"/>
                <w:szCs w:val="21"/>
                <w:lang w:val="en-US" w:eastAsia="zh-CN" w:bidi="ar-SA"/>
              </w:rPr>
              <w:t>样本量不足</w:t>
            </w:r>
          </w:p>
        </w:tc>
        <w:tc>
          <w:tcPr>
            <w:tcW w:w="4819" w:type="dxa"/>
          </w:tcPr>
          <w:p>
            <w:pPr>
              <w:pStyle w:val="9"/>
              <w:widowControl w:val="0"/>
              <w:snapToGrid w:val="0"/>
              <w:spacing w:before="0" w:after="0"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5" w:type="dxa"/>
          </w:tcPr>
          <w:p>
            <w:pPr>
              <w:pStyle w:val="9"/>
              <w:widowControl w:val="0"/>
              <w:snapToGrid w:val="0"/>
              <w:spacing w:before="0" w:after="0" w:line="360" w:lineRule="auto"/>
              <w:rPr>
                <w:rFonts w:ascii="宋体" w:hAnsi="宋体"/>
                <w:b/>
                <w:color w:val="000000" w:themeColor="text1"/>
                <w:szCs w:val="21"/>
              </w:rPr>
            </w:pPr>
            <w:r>
              <w:rPr>
                <w:rFonts w:cs="Times New Roman"/>
                <w:b/>
                <w:color w:val="000000" w:themeColor="text1"/>
                <w:spacing w:val="-10"/>
                <w:szCs w:val="21"/>
                <w:lang w:val="en-US" w:eastAsia="zh-CN" w:bidi="ar-SA"/>
              </w:rPr>
              <w:t>□</w:t>
            </w:r>
            <w:r>
              <w:rPr>
                <w:rFonts w:ascii="宋体" w:hAnsi="宋体" w:cs="Times New Roman"/>
                <w:b/>
                <w:color w:val="000000" w:themeColor="text1"/>
                <w:szCs w:val="21"/>
                <w:lang w:val="en-US" w:eastAsia="zh-CN" w:bidi="ar-SA"/>
              </w:rPr>
              <w:t>知识产权保护</w:t>
            </w:r>
          </w:p>
        </w:tc>
        <w:tc>
          <w:tcPr>
            <w:tcW w:w="4819" w:type="dxa"/>
          </w:tcPr>
          <w:p>
            <w:pPr>
              <w:pStyle w:val="9"/>
              <w:widowControl w:val="0"/>
              <w:snapToGrid w:val="0"/>
              <w:spacing w:before="0" w:after="0"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5" w:type="dxa"/>
          </w:tcPr>
          <w:p>
            <w:pPr>
              <w:pStyle w:val="9"/>
              <w:widowControl w:val="0"/>
              <w:snapToGrid w:val="0"/>
              <w:spacing w:before="0" w:after="0" w:line="360" w:lineRule="auto"/>
              <w:rPr>
                <w:rFonts w:ascii="宋体" w:hAnsi="宋体"/>
                <w:b/>
                <w:color w:val="000000" w:themeColor="text1"/>
                <w:szCs w:val="21"/>
              </w:rPr>
            </w:pPr>
            <w:r>
              <w:rPr>
                <w:rFonts w:cs="Times New Roman"/>
                <w:b/>
                <w:color w:val="000000" w:themeColor="text1"/>
                <w:spacing w:val="-10"/>
                <w:szCs w:val="21"/>
                <w:lang w:val="en-US" w:eastAsia="zh-CN" w:bidi="ar-SA"/>
              </w:rPr>
              <w:t>□</w:t>
            </w:r>
            <w:r>
              <w:rPr>
                <w:rFonts w:ascii="宋体" w:hAnsi="宋体" w:cs="Times New Roman"/>
                <w:b/>
                <w:color w:val="000000" w:themeColor="text1"/>
                <w:szCs w:val="21"/>
                <w:lang w:val="en-US" w:eastAsia="zh-CN" w:bidi="ar-SA"/>
              </w:rPr>
              <w:t>因受审核方信息造成的日数或审核资源不足</w:t>
            </w:r>
          </w:p>
        </w:tc>
        <w:tc>
          <w:tcPr>
            <w:tcW w:w="4819" w:type="dxa"/>
          </w:tcPr>
          <w:p>
            <w:pPr>
              <w:pStyle w:val="9"/>
              <w:widowControl w:val="0"/>
              <w:snapToGrid w:val="0"/>
              <w:spacing w:before="0" w:after="0" w:line="360" w:lineRule="auto"/>
              <w:rPr>
                <w:rFonts w:ascii="宋体" w:hAnsi="宋体"/>
                <w:b/>
                <w:color w:val="000000" w:themeColor="text1"/>
                <w:szCs w:val="21"/>
              </w:rPr>
            </w:pPr>
          </w:p>
        </w:tc>
      </w:tr>
    </w:tbl>
    <w:p>
      <w:pPr>
        <w:pStyle w:val="9"/>
        <w:snapToGrid w:val="0"/>
        <w:spacing w:line="360" w:lineRule="auto"/>
        <w:ind w:left="364" w:hanging="1355"/>
        <w:rPr>
          <w:b/>
          <w:color w:val="000000" w:themeColor="text1"/>
          <w:sz w:val="26"/>
          <w:szCs w:val="26"/>
        </w:rPr>
      </w:pPr>
      <w:r>
        <w:rPr>
          <w:b/>
          <w:color w:val="000000" w:themeColor="text1"/>
          <w:sz w:val="26"/>
          <w:szCs w:val="26"/>
        </w:rPr>
        <w:t>九、是否达到审核目的</w:t>
      </w:r>
    </w:p>
    <w:p>
      <w:pPr>
        <w:pStyle w:val="9"/>
        <w:snapToGrid w:val="0"/>
        <w:spacing w:line="360" w:lineRule="auto"/>
        <w:ind w:left="-191" w:hanging="517"/>
        <w:rPr>
          <w:rFonts w:ascii="宋体" w:hAnsi="宋体"/>
          <w:b/>
          <w:color w:val="000000" w:themeColor="text1"/>
          <w:szCs w:val="21"/>
        </w:rPr>
      </w:pPr>
      <w:r>
        <w:rPr>
          <w:rFonts w:ascii="MS Mincho" w:hAnsi="MS Mincho" w:eastAsia="MS Mincho" w:cs="MS Mincho"/>
          <w:b/>
          <w:color w:val="000000" w:themeColor="text1"/>
          <w:spacing w:val="-10"/>
          <w:szCs w:val="21"/>
        </w:rPr>
        <w:t>☑</w:t>
      </w:r>
      <w:r>
        <w:rPr>
          <w:rFonts w:ascii="宋体" w:hAnsi="宋体"/>
          <w:b/>
          <w:color w:val="000000" w:themeColor="text1"/>
          <w:szCs w:val="21"/>
        </w:rPr>
        <w:t xml:space="preserve">达到审核目的 </w:t>
      </w:r>
    </w:p>
    <w:p>
      <w:pPr>
        <w:pStyle w:val="9"/>
        <w:snapToGrid w:val="0"/>
        <w:spacing w:line="360" w:lineRule="auto"/>
        <w:ind w:left="-191" w:hanging="517"/>
        <w:rPr>
          <w:rFonts w:ascii="宋体" w:hAnsi="宋体"/>
          <w:b/>
          <w:color w:val="000000" w:themeColor="text1"/>
          <w:szCs w:val="21"/>
        </w:rPr>
      </w:pPr>
      <w:r>
        <w:rPr>
          <w:b/>
          <w:color w:val="000000" w:themeColor="text1"/>
          <w:spacing w:val="-10"/>
          <w:szCs w:val="21"/>
        </w:rPr>
        <w:t>□未</w:t>
      </w:r>
      <w:r>
        <w:rPr>
          <w:rFonts w:ascii="宋体" w:hAnsi="宋体"/>
          <w:b/>
          <w:color w:val="000000" w:themeColor="text1"/>
          <w:szCs w:val="21"/>
        </w:rPr>
        <w:t>达到审核目的，未达到目的的原因是：</w:t>
      </w:r>
    </w:p>
    <w:p>
      <w:pPr>
        <w:pStyle w:val="9"/>
        <w:spacing w:line="360" w:lineRule="auto"/>
        <w:ind w:left="1" w:hanging="992"/>
        <w:rPr>
          <w:b/>
          <w:color w:val="000000" w:themeColor="text1"/>
          <w:sz w:val="26"/>
          <w:szCs w:val="26"/>
        </w:rPr>
      </w:pPr>
      <w:r>
        <w:rPr>
          <w:b/>
          <w:color w:val="000000" w:themeColor="text1"/>
          <w:sz w:val="26"/>
          <w:szCs w:val="26"/>
        </w:rPr>
        <w:t>十、审核结论</w:t>
      </w:r>
    </w:p>
    <w:tbl>
      <w:tblPr>
        <w:tblStyle w:val="10"/>
        <w:tblW w:w="10080" w:type="dxa"/>
        <w:tblInd w:w="-880" w:type="dxa"/>
        <w:tblLayout w:type="fixed"/>
        <w:tblCellMar>
          <w:top w:w="0" w:type="dxa"/>
          <w:left w:w="108" w:type="dxa"/>
          <w:bottom w:w="0" w:type="dxa"/>
          <w:right w:w="108" w:type="dxa"/>
        </w:tblCellMar>
      </w:tblPr>
      <w:tblGrid>
        <w:gridCol w:w="10080"/>
      </w:tblGrid>
      <w:tr>
        <w:tblPrEx>
          <w:tblCellMar>
            <w:top w:w="0" w:type="dxa"/>
            <w:left w:w="108" w:type="dxa"/>
            <w:bottom w:w="0" w:type="dxa"/>
            <w:right w:w="108" w:type="dxa"/>
          </w:tblCellMar>
        </w:tblPrEx>
        <w:trPr>
          <w:trHeight w:val="3046" w:hRule="atLeast"/>
        </w:trPr>
        <w:tc>
          <w:tcPr>
            <w:tcW w:w="10080" w:type="dxa"/>
            <w:tcBorders>
              <w:top w:val="single" w:color="000000" w:sz="4" w:space="0"/>
              <w:left w:val="single" w:color="000000" w:sz="4" w:space="0"/>
              <w:bottom w:val="single" w:color="000000" w:sz="4" w:space="0"/>
              <w:right w:val="single" w:color="000000" w:sz="4" w:space="0"/>
            </w:tcBorders>
          </w:tcPr>
          <w:p>
            <w:pPr>
              <w:pStyle w:val="9"/>
              <w:widowControl w:val="0"/>
              <w:spacing w:line="280" w:lineRule="exact"/>
              <w:rPr>
                <w:b/>
                <w:color w:val="000000" w:themeColor="text1"/>
                <w:sz w:val="22"/>
                <w:szCs w:val="22"/>
              </w:rPr>
            </w:pPr>
            <w:r>
              <w:rPr>
                <w:b/>
                <w:color w:val="000000" w:themeColor="text1"/>
                <w:spacing w:val="-10"/>
                <w:sz w:val="22"/>
                <w:szCs w:val="22"/>
              </w:rPr>
              <w:t xml:space="preserve">1. </w:t>
            </w:r>
            <w:r>
              <w:rPr>
                <w:rFonts w:ascii="MS Mincho" w:hAnsi="MS Mincho" w:eastAsia="MS Mincho" w:cs="MS Mincho"/>
                <w:b/>
                <w:color w:val="000000" w:themeColor="text1"/>
                <w:spacing w:val="-10"/>
                <w:szCs w:val="21"/>
              </w:rPr>
              <w:t>☑</w:t>
            </w:r>
            <w:r>
              <w:rPr>
                <w:b/>
                <w:color w:val="000000" w:themeColor="text1"/>
                <w:sz w:val="22"/>
                <w:szCs w:val="22"/>
              </w:rPr>
              <w:t>QMS</w:t>
            </w:r>
            <w:r>
              <w:rPr>
                <w:rFonts w:ascii="MS Mincho" w:hAnsi="MS Mincho" w:eastAsia="MS Mincho" w:cs="MS Mincho"/>
                <w:b/>
                <w:color w:val="000000" w:themeColor="text1"/>
                <w:spacing w:val="-10"/>
                <w:szCs w:val="21"/>
              </w:rPr>
              <w:t>☑</w:t>
            </w:r>
            <w:r>
              <w:rPr>
                <w:b/>
                <w:color w:val="000000" w:themeColor="text1"/>
                <w:sz w:val="22"/>
                <w:szCs w:val="22"/>
              </w:rPr>
              <w:t xml:space="preserve">EMS  </w:t>
            </w:r>
            <w:r>
              <w:rPr>
                <w:rFonts w:ascii="MS Mincho" w:hAnsi="MS Mincho" w:eastAsia="MS Mincho" w:cs="MS Mincho"/>
                <w:b/>
                <w:color w:val="000000" w:themeColor="text1"/>
                <w:spacing w:val="-10"/>
                <w:szCs w:val="21"/>
              </w:rPr>
              <w:t>☑</w:t>
            </w:r>
            <w:r>
              <w:rPr>
                <w:b/>
                <w:color w:val="000000" w:themeColor="text1"/>
                <w:sz w:val="22"/>
                <w:szCs w:val="22"/>
              </w:rPr>
              <w:t>OHSMS的适宜性、充分性、运行有效性，自我完善机制等。管理体系满足适用要求和实现预期结果的能力。</w:t>
            </w:r>
          </w:p>
          <w:p>
            <w:pPr>
              <w:pStyle w:val="9"/>
              <w:widowControl w:val="0"/>
              <w:spacing w:line="280" w:lineRule="exact"/>
              <w:ind w:left="221" w:hanging="221"/>
              <w:rPr>
                <w:b/>
                <w:color w:val="000000" w:themeColor="text1"/>
                <w:sz w:val="22"/>
                <w:szCs w:val="22"/>
              </w:rPr>
            </w:pPr>
            <w:r>
              <w:rPr>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9"/>
              <w:widowControl w:val="0"/>
              <w:spacing w:line="240" w:lineRule="exact"/>
              <w:rPr>
                <w:b/>
                <w:color w:val="000000" w:themeColor="text1"/>
                <w:sz w:val="22"/>
                <w:szCs w:val="22"/>
              </w:rPr>
            </w:pPr>
            <w:r>
              <w:rPr>
                <w:b/>
                <w:color w:val="000000" w:themeColor="text1"/>
                <w:spacing w:val="-10"/>
                <w:szCs w:val="21"/>
              </w:rPr>
              <w:t>□</w:t>
            </w:r>
            <w:r>
              <w:rPr>
                <w:b/>
                <w:color w:val="000000" w:themeColor="text1"/>
                <w:sz w:val="22"/>
                <w:szCs w:val="22"/>
              </w:rPr>
              <w:t xml:space="preserve">QMS  </w:t>
            </w:r>
            <w:r>
              <w:rPr>
                <w:b/>
                <w:color w:val="000000" w:themeColor="text1"/>
                <w:spacing w:val="-10"/>
                <w:szCs w:val="21"/>
              </w:rPr>
              <w:t>□</w:t>
            </w:r>
            <w:r>
              <w:rPr>
                <w:b/>
                <w:color w:val="000000" w:themeColor="text1"/>
                <w:sz w:val="22"/>
                <w:szCs w:val="22"/>
              </w:rPr>
              <w:t xml:space="preserve">EMS  </w:t>
            </w:r>
            <w:r>
              <w:rPr>
                <w:b/>
                <w:color w:val="000000" w:themeColor="text1"/>
                <w:spacing w:val="-10"/>
                <w:szCs w:val="21"/>
              </w:rPr>
              <w:t>□</w:t>
            </w:r>
            <w:r>
              <w:rPr>
                <w:b/>
                <w:color w:val="000000" w:themeColor="text1"/>
                <w:sz w:val="22"/>
                <w:szCs w:val="22"/>
              </w:rPr>
              <w:t>OHSMS持续的符合性及运行的有效性，以及与认证范围的持续相关性和适宜性及自我完善机制等。</w:t>
            </w:r>
          </w:p>
          <w:p>
            <w:pPr>
              <w:pStyle w:val="9"/>
              <w:widowControl w:val="0"/>
              <w:spacing w:line="240" w:lineRule="exact"/>
              <w:rPr>
                <w:b/>
                <w:color w:val="000000" w:themeColor="text1"/>
                <w:sz w:val="22"/>
                <w:szCs w:val="22"/>
              </w:rPr>
            </w:pPr>
          </w:p>
          <w:p>
            <w:pPr>
              <w:pStyle w:val="9"/>
              <w:widowControl w:val="0"/>
              <w:spacing w:line="240" w:lineRule="exact"/>
              <w:ind w:firstLine="420"/>
              <w:rPr>
                <w:b/>
                <w:color w:val="000000" w:themeColor="text1"/>
                <w:sz w:val="28"/>
                <w:szCs w:val="28"/>
              </w:rPr>
            </w:pPr>
            <w:r>
              <w:rPr>
                <w:rFonts w:hint="eastAsia" w:ascii="宋体" w:hAnsi="宋体" w:cs="宋体"/>
                <w:bCs/>
                <w:color w:val="000000" w:themeColor="text1"/>
                <w:szCs w:val="21"/>
                <w:lang w:val="en-US" w:eastAsia="zh-CN"/>
              </w:rPr>
              <w:t>该公司</w:t>
            </w:r>
            <w:r>
              <w:rPr>
                <w:rFonts w:ascii="宋体" w:hAnsi="宋体" w:cs="宋体"/>
                <w:bCs/>
                <w:color w:val="000000" w:themeColor="text1"/>
                <w:szCs w:val="21"/>
              </w:rPr>
              <w:t>体系运行满足标准要求，目标能达成，按法律法规和其他要求、顾客要求</w:t>
            </w:r>
            <w:r>
              <w:rPr>
                <w:rFonts w:hint="eastAsia" w:ascii="宋体" w:hAnsi="宋体" w:cs="宋体"/>
                <w:bCs/>
                <w:color w:val="000000" w:themeColor="text1"/>
                <w:szCs w:val="21"/>
                <w:lang w:val="en-US" w:eastAsia="zh-CN"/>
              </w:rPr>
              <w:t>进行</w:t>
            </w:r>
            <w:r>
              <w:rPr>
                <w:rFonts w:hint="eastAsia" w:ascii="宋体" w:hAnsi="宋体"/>
                <w:color w:val="000000" w:themeColor="text1"/>
                <w:sz w:val="20"/>
                <w:szCs w:val="20"/>
                <w:lang w:eastAsia="zh-CN"/>
              </w:rPr>
              <w:t>钢质防火门、防盗门销售</w:t>
            </w:r>
            <w:r>
              <w:rPr>
                <w:rFonts w:ascii="宋体" w:hAnsi="宋体" w:cs="宋体"/>
                <w:bCs/>
                <w:color w:val="000000" w:themeColor="text1"/>
                <w:szCs w:val="21"/>
              </w:rPr>
              <w:t>，满足适用的质量/环境/职业健康安全法规要求，防止</w:t>
            </w:r>
            <w:r>
              <w:rPr>
                <w:rFonts w:hint="eastAsia" w:ascii="宋体" w:hAnsi="宋体" w:cs="宋体"/>
                <w:bCs/>
                <w:color w:val="000000" w:themeColor="text1"/>
                <w:szCs w:val="21"/>
                <w:lang w:val="en-US" w:eastAsia="zh-CN"/>
              </w:rPr>
              <w:t>质量、</w:t>
            </w:r>
            <w:r>
              <w:rPr>
                <w:rFonts w:ascii="宋体" w:hAnsi="宋体" w:cs="宋体"/>
                <w:bCs/>
                <w:color w:val="000000" w:themeColor="text1"/>
                <w:szCs w:val="21"/>
              </w:rPr>
              <w:t>环境污染和重大职业健康安全事故，对周边环境没有产生不利影响，实施措施基本有效。体系运行基本适宜、充分、有效，基本建立自我完善机制。</w:t>
            </w:r>
          </w:p>
        </w:tc>
      </w:tr>
      <w:tr>
        <w:tblPrEx>
          <w:tblCellMar>
            <w:top w:w="0" w:type="dxa"/>
            <w:left w:w="108" w:type="dxa"/>
            <w:bottom w:w="0" w:type="dxa"/>
            <w:right w:w="108" w:type="dxa"/>
          </w:tblCellMar>
        </w:tblPrEx>
        <w:trPr>
          <w:trHeight w:val="2232" w:hRule="atLeast"/>
        </w:trPr>
        <w:tc>
          <w:tcPr>
            <w:tcW w:w="10080" w:type="dxa"/>
            <w:tcBorders>
              <w:top w:val="single" w:color="000000" w:sz="4" w:space="0"/>
              <w:left w:val="single" w:color="000000" w:sz="4" w:space="0"/>
              <w:bottom w:val="single" w:color="000000" w:sz="4" w:space="0"/>
              <w:right w:val="single" w:color="000000" w:sz="4" w:space="0"/>
            </w:tcBorders>
          </w:tcPr>
          <w:p>
            <w:pPr>
              <w:pStyle w:val="9"/>
              <w:widowControl w:val="0"/>
              <w:rPr>
                <w:b/>
                <w:color w:val="000000" w:themeColor="text1"/>
              </w:rPr>
            </w:pPr>
            <w:r>
              <w:rPr>
                <w:b/>
                <w:color w:val="000000" w:themeColor="text1"/>
              </w:rPr>
              <w:t>2.对审核范围适宜性结论</w:t>
            </w:r>
          </w:p>
          <w:p>
            <w:pPr>
              <w:pStyle w:val="9"/>
              <w:widowControl w:val="0"/>
              <w:rPr>
                <w:b/>
                <w:color w:val="000000" w:themeColor="text1"/>
              </w:rPr>
            </w:pPr>
            <w:r>
              <w:rPr>
                <w:rFonts w:ascii="MS Mincho" w:hAnsi="MS Mincho" w:eastAsia="MS Mincho" w:cs="MS Mincho"/>
                <w:b/>
                <w:color w:val="000000" w:themeColor="text1"/>
                <w:spacing w:val="-10"/>
                <w:szCs w:val="21"/>
              </w:rPr>
              <w:t>☑</w:t>
            </w:r>
            <w:r>
              <w:rPr>
                <w:b/>
                <w:color w:val="000000" w:themeColor="text1"/>
              </w:rPr>
              <w:t>审核范围适宜，与申请范围一致</w:t>
            </w:r>
          </w:p>
          <w:p>
            <w:pPr>
              <w:pStyle w:val="9"/>
              <w:widowControl w:val="0"/>
              <w:rPr>
                <w:b/>
                <w:color w:val="000000" w:themeColor="text1"/>
              </w:rPr>
            </w:pPr>
            <w:r>
              <w:rPr>
                <w:b/>
                <w:color w:val="000000" w:themeColor="text1"/>
                <w:spacing w:val="-10"/>
                <w:szCs w:val="21"/>
              </w:rPr>
              <w:t>□</w:t>
            </w:r>
            <w:r>
              <w:rPr>
                <w:b/>
                <w:color w:val="000000" w:themeColor="text1"/>
              </w:rPr>
              <w:t>审核范围变更，</w:t>
            </w:r>
          </w:p>
          <w:p>
            <w:pPr>
              <w:pStyle w:val="9"/>
              <w:widowControl w:val="0"/>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sz w:val="20"/>
              </w:rPr>
              <w:t xml:space="preserve"> 钢质防火门、防盗门的销售</w:t>
            </w:r>
          </w:p>
          <w:p>
            <w:pPr>
              <w:pStyle w:val="9"/>
              <w:widowControl w:val="0"/>
              <w:spacing w:line="320" w:lineRule="exact"/>
              <w:rPr>
                <w:rFonts w:ascii="宋体" w:hAnsi="宋体"/>
                <w:b/>
                <w:color w:val="000000" w:themeColor="text1"/>
                <w:u w:val="single"/>
                <w:lang w:val="en-GB"/>
              </w:rPr>
            </w:pPr>
            <w:r>
              <w:rPr>
                <w:rFonts w:ascii="宋体" w:hAnsi="宋体"/>
                <w:b/>
                <w:color w:val="000000" w:themeColor="text1"/>
              </w:rPr>
              <w:t>EMS</w:t>
            </w:r>
            <w:r>
              <w:rPr>
                <w:rFonts w:ascii="宋体" w:hAnsi="宋体"/>
                <w:b/>
                <w:color w:val="000000" w:themeColor="text1"/>
                <w:lang w:val="en-GB"/>
              </w:rPr>
              <w:t>:</w:t>
            </w:r>
            <w:r>
              <w:rPr>
                <w:sz w:val="20"/>
              </w:rPr>
              <w:t xml:space="preserve"> </w:t>
            </w:r>
            <w:r>
              <w:rPr>
                <w:rFonts w:hint="eastAsia"/>
                <w:sz w:val="20"/>
                <w:lang w:eastAsia="zh-CN"/>
              </w:rPr>
              <w:t>钢质防火门、防盗门</w:t>
            </w:r>
            <w:r>
              <w:rPr>
                <w:rFonts w:hint="eastAsia"/>
                <w:sz w:val="20"/>
                <w:lang w:val="en-US" w:eastAsia="zh-CN"/>
              </w:rPr>
              <w:t>的</w:t>
            </w:r>
            <w:r>
              <w:rPr>
                <w:rFonts w:hint="eastAsia"/>
                <w:sz w:val="20"/>
                <w:lang w:eastAsia="zh-CN"/>
              </w:rPr>
              <w:t>销售</w:t>
            </w:r>
            <w:r>
              <w:rPr>
                <w:sz w:val="20"/>
              </w:rPr>
              <w:t>所涉及场所的相关环境管理活动</w:t>
            </w:r>
          </w:p>
          <w:p>
            <w:pPr>
              <w:pStyle w:val="9"/>
              <w:widowControl w:val="0"/>
              <w:spacing w:line="320" w:lineRule="exact"/>
              <w:rPr>
                <w:rFonts w:ascii="宋体" w:hAnsi="宋体"/>
                <w:b/>
                <w:color w:val="000000" w:themeColor="text1"/>
                <w:u w:val="single"/>
                <w:lang w:val="en-GB"/>
              </w:rPr>
            </w:pPr>
            <w:r>
              <w:rPr>
                <w:rFonts w:ascii="宋体" w:hAnsi="宋体"/>
                <w:b/>
                <w:color w:val="000000" w:themeColor="text1"/>
              </w:rPr>
              <w:t>OHSMS</w:t>
            </w:r>
            <w:r>
              <w:rPr>
                <w:rFonts w:ascii="宋体" w:hAnsi="宋体"/>
                <w:b/>
                <w:color w:val="000000" w:themeColor="text1"/>
                <w:lang w:val="en-GB"/>
              </w:rPr>
              <w:t>:</w:t>
            </w:r>
            <w:r>
              <w:rPr>
                <w:sz w:val="20"/>
              </w:rPr>
              <w:t xml:space="preserve"> </w:t>
            </w:r>
            <w:r>
              <w:rPr>
                <w:rFonts w:hint="eastAsia"/>
                <w:sz w:val="20"/>
                <w:lang w:eastAsia="zh-CN"/>
              </w:rPr>
              <w:t>钢质防火门、防盗门</w:t>
            </w:r>
            <w:r>
              <w:rPr>
                <w:rFonts w:hint="eastAsia"/>
                <w:sz w:val="20"/>
                <w:lang w:val="en-US" w:eastAsia="zh-CN"/>
              </w:rPr>
              <w:t>的</w:t>
            </w:r>
            <w:r>
              <w:rPr>
                <w:rFonts w:hint="eastAsia"/>
                <w:sz w:val="20"/>
                <w:lang w:eastAsia="zh-CN"/>
              </w:rPr>
              <w:t>销售</w:t>
            </w:r>
            <w:r>
              <w:rPr>
                <w:sz w:val="20"/>
              </w:rPr>
              <w:t>所涉及场所的相关职业健康安全管理活动</w:t>
            </w:r>
          </w:p>
          <w:p>
            <w:pPr>
              <w:pStyle w:val="9"/>
              <w:widowControl w:val="0"/>
              <w:snapToGrid w:val="0"/>
              <w:spacing w:line="280" w:lineRule="exact"/>
              <w:rPr>
                <w:b/>
                <w:color w:val="000000" w:themeColor="text1"/>
                <w:spacing w:val="-10"/>
                <w:sz w:val="22"/>
                <w:szCs w:val="22"/>
              </w:rPr>
            </w:pPr>
          </w:p>
        </w:tc>
      </w:tr>
      <w:tr>
        <w:tblPrEx>
          <w:tblCellMar>
            <w:top w:w="0" w:type="dxa"/>
            <w:left w:w="108" w:type="dxa"/>
            <w:bottom w:w="0" w:type="dxa"/>
            <w:right w:w="108" w:type="dxa"/>
          </w:tblCellMar>
        </w:tblPrEx>
        <w:trPr>
          <w:trHeight w:val="3206" w:hRule="atLeast"/>
        </w:trPr>
        <w:tc>
          <w:tcPr>
            <w:tcW w:w="10080" w:type="dxa"/>
            <w:tcBorders>
              <w:top w:val="single" w:color="000000" w:sz="4" w:space="0"/>
              <w:left w:val="single" w:color="000000" w:sz="4" w:space="0"/>
              <w:bottom w:val="single" w:color="000000" w:sz="4" w:space="0"/>
              <w:right w:val="single" w:color="000000" w:sz="4" w:space="0"/>
            </w:tcBorders>
          </w:tcPr>
          <w:p>
            <w:pPr>
              <w:pStyle w:val="9"/>
              <w:widowControl w:val="0"/>
              <w:rPr>
                <w:b/>
                <w:color w:val="000000" w:themeColor="text1"/>
                <w:sz w:val="16"/>
                <w:szCs w:val="16"/>
              </w:rPr>
            </w:pPr>
            <w:r>
              <w:rPr>
                <w:b/>
                <w:color w:val="000000" w:themeColor="text1"/>
              </w:rPr>
              <w:t>3. 审核组推荐意见</w:t>
            </w:r>
            <w:r>
              <w:rPr>
                <w:b/>
                <w:color w:val="000000" w:themeColor="text1"/>
                <w:sz w:val="16"/>
                <w:szCs w:val="16"/>
              </w:rPr>
              <w:t>：</w:t>
            </w:r>
          </w:p>
          <w:p>
            <w:pPr>
              <w:pStyle w:val="9"/>
              <w:widowControl w:val="0"/>
              <w:rPr>
                <w:b/>
                <w:color w:val="000000" w:themeColor="text1"/>
              </w:rPr>
            </w:pPr>
            <w:r>
              <w:rPr>
                <w:b/>
                <w:color w:val="000000" w:themeColor="text1"/>
                <w:spacing w:val="-10"/>
                <w:szCs w:val="21"/>
              </w:rPr>
              <w:t>□</w:t>
            </w:r>
            <w:r>
              <w:rPr>
                <w:b/>
                <w:color w:val="000000" w:themeColor="text1"/>
              </w:rPr>
              <w:t>推荐认证注册</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pPr>
              <w:pStyle w:val="9"/>
              <w:widowControl w:val="0"/>
              <w:rPr>
                <w:b/>
                <w:color w:val="000000" w:themeColor="text1"/>
                <w:spacing w:val="-10"/>
                <w:sz w:val="22"/>
                <w:szCs w:val="22"/>
              </w:rPr>
            </w:pPr>
            <w:r>
              <w:rPr>
                <w:rFonts w:ascii="MS Mincho" w:hAnsi="MS Mincho" w:eastAsia="MS Mincho" w:cs="MS Mincho"/>
                <w:b/>
                <w:color w:val="000000" w:themeColor="text1"/>
                <w:spacing w:val="-10"/>
                <w:szCs w:val="21"/>
              </w:rPr>
              <w:t>☑</w:t>
            </w:r>
            <w:r>
              <w:rPr>
                <w:b/>
                <w:color w:val="000000" w:themeColor="text1"/>
                <w:spacing w:val="-4"/>
              </w:rPr>
              <w:t>在完成纠正措施后</w:t>
            </w:r>
            <w:r>
              <w:rPr>
                <w:b/>
                <w:color w:val="000000" w:themeColor="text1"/>
              </w:rPr>
              <w:t>推荐认证注册</w:t>
            </w:r>
            <w:r>
              <w:rPr>
                <w:b/>
                <w:color w:val="000000" w:themeColor="text1"/>
                <w:szCs w:val="21"/>
              </w:rPr>
              <w:t>(</w:t>
            </w:r>
            <w:r>
              <w:rPr>
                <w:rFonts w:ascii="MS Mincho" w:hAnsi="MS Mincho" w:eastAsia="MS Mincho" w:cs="MS Mincho"/>
                <w:b/>
                <w:color w:val="000000" w:themeColor="text1"/>
                <w:spacing w:val="-10"/>
                <w:szCs w:val="21"/>
              </w:rPr>
              <w:t>☑</w:t>
            </w:r>
            <w:r>
              <w:rPr>
                <w:b/>
                <w:color w:val="000000" w:themeColor="text1"/>
                <w:szCs w:val="21"/>
              </w:rPr>
              <w:t xml:space="preserve">QMS  </w:t>
            </w:r>
            <w:r>
              <w:rPr>
                <w:rFonts w:ascii="MS Mincho" w:hAnsi="MS Mincho" w:eastAsia="MS Mincho" w:cs="MS Mincho"/>
                <w:b/>
                <w:color w:val="000000" w:themeColor="text1"/>
                <w:spacing w:val="-10"/>
                <w:szCs w:val="21"/>
              </w:rPr>
              <w:t>☑</w:t>
            </w:r>
            <w:r>
              <w:rPr>
                <w:b/>
                <w:color w:val="000000" w:themeColor="text1"/>
                <w:szCs w:val="21"/>
              </w:rPr>
              <w:t xml:space="preserve">EMS   </w:t>
            </w:r>
            <w:r>
              <w:rPr>
                <w:rFonts w:ascii="MS Mincho" w:hAnsi="MS Mincho" w:eastAsia="MS Mincho" w:cs="MS Mincho"/>
                <w:b/>
                <w:color w:val="000000" w:themeColor="text1"/>
                <w:spacing w:val="-10"/>
                <w:szCs w:val="21"/>
              </w:rPr>
              <w:t>☑</w:t>
            </w:r>
            <w:r>
              <w:rPr>
                <w:b/>
                <w:color w:val="000000" w:themeColor="text1"/>
                <w:szCs w:val="21"/>
              </w:rPr>
              <w:t>OHSMS)</w:t>
            </w:r>
          </w:p>
          <w:p>
            <w:pPr>
              <w:pStyle w:val="9"/>
              <w:widowControl w:val="0"/>
              <w:rPr>
                <w:b/>
                <w:color w:val="000000" w:themeColor="text1"/>
                <w:spacing w:val="-4"/>
                <w:szCs w:val="21"/>
              </w:rPr>
            </w:pPr>
            <w:r>
              <w:rPr>
                <w:b/>
                <w:color w:val="000000" w:themeColor="text1"/>
                <w:spacing w:val="-10"/>
                <w:szCs w:val="21"/>
              </w:rPr>
              <w:t>□</w:t>
            </w:r>
            <w:r>
              <w:rPr>
                <w:b/>
                <w:color w:val="000000" w:themeColor="text1"/>
              </w:rPr>
              <w:t>推荐保持认证注册</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pPr>
              <w:pStyle w:val="9"/>
              <w:widowControl w:val="0"/>
              <w:rPr>
                <w:b/>
                <w:color w:val="000000" w:themeColor="text1"/>
                <w:spacing w:val="-4"/>
                <w:szCs w:val="21"/>
              </w:rPr>
            </w:pPr>
            <w:r>
              <w:rPr>
                <w:b/>
                <w:color w:val="000000" w:themeColor="text1"/>
                <w:spacing w:val="-10"/>
                <w:szCs w:val="21"/>
              </w:rPr>
              <w:t>□</w:t>
            </w:r>
            <w:r>
              <w:rPr>
                <w:b/>
                <w:color w:val="000000" w:themeColor="text1"/>
                <w:spacing w:val="-4"/>
              </w:rPr>
              <w:t>(在完成纠正措施后</w:t>
            </w:r>
            <w:r>
              <w:rPr>
                <w:b/>
                <w:color w:val="000000" w:themeColor="text1"/>
              </w:rPr>
              <w:t>推荐保持认证注册</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pPr>
              <w:pStyle w:val="9"/>
              <w:widowControl w:val="0"/>
              <w:rPr>
                <w:b/>
                <w:color w:val="000000" w:themeColor="text1"/>
                <w:spacing w:val="-4"/>
                <w:szCs w:val="21"/>
              </w:rPr>
            </w:pPr>
            <w:r>
              <w:rPr>
                <w:b/>
                <w:color w:val="000000" w:themeColor="text1"/>
                <w:spacing w:val="-10"/>
                <w:szCs w:val="21"/>
              </w:rPr>
              <w:t>□</w:t>
            </w:r>
            <w:r>
              <w:rPr>
                <w:b/>
                <w:color w:val="000000" w:themeColor="text1"/>
              </w:rPr>
              <w:t>推荐扩大范围</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pPr>
              <w:pStyle w:val="9"/>
              <w:widowControl w:val="0"/>
              <w:rPr>
                <w:b/>
                <w:color w:val="000000" w:themeColor="text1"/>
                <w:szCs w:val="21"/>
              </w:rPr>
            </w:pPr>
            <w:r>
              <w:rPr>
                <w:b/>
                <w:color w:val="000000" w:themeColor="text1"/>
                <w:spacing w:val="-10"/>
                <w:szCs w:val="21"/>
              </w:rPr>
              <w:t>□</w:t>
            </w:r>
            <w:r>
              <w:rPr>
                <w:b/>
                <w:color w:val="000000" w:themeColor="text1"/>
                <w:spacing w:val="-4"/>
              </w:rPr>
              <w:t>在完成纠正措施后</w:t>
            </w:r>
            <w:r>
              <w:rPr>
                <w:b/>
                <w:color w:val="000000" w:themeColor="text1"/>
              </w:rPr>
              <w:t>推荐扩大范围</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pPr>
              <w:pStyle w:val="9"/>
              <w:widowControl w:val="0"/>
              <w:rPr>
                <w:b/>
                <w:color w:val="000000" w:themeColor="text1"/>
                <w:szCs w:val="21"/>
              </w:rPr>
            </w:pPr>
            <w:r>
              <w:rPr>
                <w:b/>
                <w:color w:val="000000" w:themeColor="text1"/>
                <w:spacing w:val="-10"/>
                <w:szCs w:val="21"/>
              </w:rPr>
              <w:t>□</w:t>
            </w:r>
            <w:r>
              <w:rPr>
                <w:b/>
                <w:color w:val="000000" w:themeColor="text1"/>
              </w:rPr>
              <w:t>延期推荐注册</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pPr>
              <w:pStyle w:val="9"/>
              <w:widowControl w:val="0"/>
              <w:snapToGrid w:val="0"/>
              <w:rPr>
                <w:b/>
                <w:color w:val="000000" w:themeColor="text1"/>
                <w:szCs w:val="21"/>
              </w:rPr>
            </w:pPr>
            <w:r>
              <w:rPr>
                <w:b/>
                <w:color w:val="000000" w:themeColor="text1"/>
                <w:spacing w:val="-10"/>
                <w:szCs w:val="21"/>
              </w:rPr>
              <w:t>□</w:t>
            </w:r>
            <w:r>
              <w:rPr>
                <w:b/>
                <w:color w:val="000000" w:themeColor="text1"/>
              </w:rPr>
              <w:t>不推荐认证注册</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pPr>
              <w:pStyle w:val="9"/>
              <w:widowControl w:val="0"/>
              <w:snapToGrid w:val="0"/>
              <w:rPr>
                <w:b/>
                <w:color w:val="000000" w:themeColor="text1"/>
                <w:spacing w:val="-10"/>
                <w:sz w:val="16"/>
                <w:szCs w:val="16"/>
              </w:rPr>
            </w:pPr>
            <w:r>
              <w:rPr>
                <w:b/>
                <w:color w:val="000000" w:themeColor="text1"/>
                <w:spacing w:val="-10"/>
                <w:szCs w:val="21"/>
              </w:rPr>
              <w:t>□不推荐或缩小推荐范围的说明</w:t>
            </w:r>
            <w:r>
              <w:rPr>
                <w:b/>
                <w:color w:val="000000" w:themeColor="text1"/>
                <w:spacing w:val="-10"/>
                <w:sz w:val="16"/>
                <w:szCs w:val="16"/>
              </w:rPr>
              <w:t>:</w:t>
            </w:r>
          </w:p>
        </w:tc>
      </w:tr>
      <w:tr>
        <w:tblPrEx>
          <w:tblCellMar>
            <w:top w:w="0" w:type="dxa"/>
            <w:left w:w="108" w:type="dxa"/>
            <w:bottom w:w="0" w:type="dxa"/>
            <w:right w:w="108" w:type="dxa"/>
          </w:tblCellMar>
        </w:tblPrEx>
        <w:trPr>
          <w:trHeight w:val="100" w:hRule="atLeast"/>
        </w:trPr>
        <w:tc>
          <w:tcPr>
            <w:tcW w:w="10080" w:type="dxa"/>
            <w:tcBorders>
              <w:top w:val="single" w:color="000000" w:sz="4" w:space="0"/>
            </w:tcBorders>
          </w:tcPr>
          <w:p>
            <w:pPr>
              <w:pStyle w:val="9"/>
              <w:widowControl w:val="0"/>
              <w:spacing w:line="360" w:lineRule="auto"/>
              <w:rPr>
                <w:b/>
                <w:color w:val="000000" w:themeColor="text1"/>
              </w:rPr>
            </w:pPr>
          </w:p>
        </w:tc>
      </w:tr>
    </w:tbl>
    <w:p>
      <w:pPr>
        <w:pStyle w:val="8"/>
        <w:spacing w:before="280" w:after="280" w:line="360" w:lineRule="auto"/>
        <w:ind w:left="-67" w:hanging="924"/>
        <w:rPr>
          <w:rFonts w:ascii="仿宋" w:hAnsi="仿宋" w:eastAsia="仿宋"/>
          <w:color w:val="000000" w:themeColor="text1"/>
          <w:kern w:val="2"/>
          <w:sz w:val="28"/>
          <w:szCs w:val="28"/>
        </w:rPr>
      </w:pPr>
      <w:r>
        <w:rPr>
          <w:b/>
          <w:color w:val="000000" w:themeColor="text1"/>
          <w:sz w:val="26"/>
          <w:szCs w:val="26"/>
        </w:rPr>
        <w:t>十一、</w:t>
      </w:r>
      <w:r>
        <w:rPr>
          <w:rFonts w:ascii="仿宋" w:hAnsi="仿宋" w:eastAsia="仿宋"/>
          <w:color w:val="000000" w:themeColor="text1"/>
          <w:kern w:val="2"/>
          <w:sz w:val="28"/>
          <w:szCs w:val="28"/>
        </w:rPr>
        <w:t xml:space="preserve">审核基于对可获得信息的抽样过程的免责声明； </w:t>
      </w:r>
    </w:p>
    <w:p>
      <w:pPr>
        <w:pStyle w:val="9"/>
        <w:snapToGrid w:val="0"/>
        <w:spacing w:line="360" w:lineRule="auto"/>
        <w:ind w:left="-853" w:firstLine="424"/>
        <w:jc w:val="left"/>
        <w:rPr>
          <w:b/>
          <w:color w:val="000000" w:themeColor="text1"/>
        </w:rPr>
      </w:pPr>
      <w:r>
        <w:rPr>
          <w:rFonts w:ascii="方正仿宋简体" w:hAns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pStyle w:val="9"/>
        <w:tabs>
          <w:tab w:val="left" w:pos="645"/>
        </w:tabs>
        <w:spacing w:line="360" w:lineRule="auto"/>
        <w:ind w:left="-850" w:firstLine="0"/>
        <w:rPr>
          <w:b/>
          <w:color w:val="000000" w:themeColor="text1"/>
          <w:sz w:val="14"/>
          <w:szCs w:val="14"/>
        </w:rPr>
      </w:pPr>
      <w:r>
        <w:rPr>
          <w:b/>
          <w:color w:val="000000" w:themeColor="text1"/>
          <w:sz w:val="26"/>
          <w:szCs w:val="26"/>
        </w:rPr>
        <w:t>十二、不符合项纠正措施要求</w:t>
      </w:r>
    </w:p>
    <w:p>
      <w:pPr>
        <w:pStyle w:val="9"/>
        <w:spacing w:line="360" w:lineRule="auto"/>
        <w:ind w:left="-850" w:firstLine="422"/>
        <w:rPr>
          <w:b/>
          <w:color w:val="000000" w:themeColor="text1"/>
        </w:rPr>
      </w:pPr>
      <w:r>
        <w:rPr>
          <w:b/>
          <w:color w:val="000000" w:themeColor="text1"/>
        </w:rPr>
        <w:t>一般不符合报告在天/严重不符合在30天针对不符合原因制定并实施纠正措施。验证方式见不符合项报告。</w:t>
      </w:r>
    </w:p>
    <w:p>
      <w:pPr>
        <w:pStyle w:val="9"/>
        <w:spacing w:before="156" w:after="156"/>
        <w:ind w:left="1" w:hanging="851"/>
        <w:rPr>
          <w:rFonts w:hint="eastAsia"/>
          <w:b/>
          <w:color w:val="000000" w:themeColor="text1"/>
          <w:sz w:val="26"/>
          <w:szCs w:val="26"/>
        </w:rPr>
      </w:pPr>
      <w:r>
        <w:rPr>
          <w:b/>
          <w:color w:val="000000" w:themeColor="text1"/>
          <w:sz w:val="26"/>
          <w:szCs w:val="26"/>
        </w:rPr>
        <w:t>十三、</w:t>
      </w:r>
      <w:r>
        <w:rPr>
          <w:rFonts w:ascii="仿宋" w:hAnsi="仿宋" w:eastAsia="仿宋" w:cstheme="minorBidi"/>
          <w:color w:val="000000" w:themeColor="text1"/>
          <w:kern w:val="2"/>
          <w:sz w:val="28"/>
          <w:szCs w:val="28"/>
        </w:rPr>
        <w:t xml:space="preserve"> 任何影响审核方案的重要事项</w:t>
      </w:r>
      <w:r>
        <w:rPr>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sz w:val="18"/>
          <w:szCs w:val="18"/>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zCs w:val="21"/>
          <w:lang w:val="en-US" w:eastAsia="zh-CN"/>
        </w:rPr>
        <w:t xml:space="preserve"> </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sz w:val="18"/>
          <w:szCs w:val="18"/>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zCs w:val="21"/>
          <w:lang w:val="en-US" w:eastAsia="zh-CN"/>
        </w:rPr>
        <w:t xml:space="preserve"> </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sz w:val="18"/>
          <w:szCs w:val="18"/>
        </w:rPr>
        <w:t>■</w:t>
      </w:r>
      <w:r>
        <w:rPr>
          <w:rFonts w:hint="eastAsia"/>
          <w:b/>
          <w:color w:val="000000" w:themeColor="text1"/>
          <w:spacing w:val="-10"/>
          <w:szCs w:val="21"/>
        </w:rPr>
        <w:sym w:font="Wingdings 2" w:char="00A3"/>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zCs w:val="21"/>
          <w:lang w:val="en-US" w:eastAsia="zh-CN"/>
        </w:rPr>
        <w:t xml:space="preserve"> </w:t>
      </w:r>
      <w:r>
        <w:rPr>
          <w:rFonts w:hint="eastAsia"/>
          <w:b/>
          <w:color w:val="000000" w:themeColor="text1"/>
          <w:spacing w:val="-10"/>
          <w:szCs w:val="21"/>
        </w:rPr>
        <w:sym w:font="Wingdings 2" w:char="00A3"/>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年月日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MS Mincho">
    <w:altName w:val="宋体"/>
    <w:panose1 w:val="00000000000000000000"/>
    <w:charset w:val="86"/>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bookmarkStart w:id="23" w:name="_Hlk8555230"/>
    <w:r>
      <w:pict>
        <v:shape id="_x0000_s4097" o:spid="_x0000_s4097"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bookmarkEnd w:id="23"/>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9352DA"/>
    <w:rsid w:val="05E03837"/>
    <w:rsid w:val="0AF82DDF"/>
    <w:rsid w:val="0D0A1D69"/>
    <w:rsid w:val="11BD5E02"/>
    <w:rsid w:val="1A2A29A9"/>
    <w:rsid w:val="1FB21F9F"/>
    <w:rsid w:val="20F46F66"/>
    <w:rsid w:val="21BF7F1D"/>
    <w:rsid w:val="25C4024E"/>
    <w:rsid w:val="26414581"/>
    <w:rsid w:val="26FE2DBF"/>
    <w:rsid w:val="2C273294"/>
    <w:rsid w:val="2DE913EB"/>
    <w:rsid w:val="300618B6"/>
    <w:rsid w:val="312E2828"/>
    <w:rsid w:val="341B72F3"/>
    <w:rsid w:val="34E67CD9"/>
    <w:rsid w:val="36AA5465"/>
    <w:rsid w:val="38C35499"/>
    <w:rsid w:val="3AD20FD3"/>
    <w:rsid w:val="3DAC00AE"/>
    <w:rsid w:val="404D6E33"/>
    <w:rsid w:val="42A21745"/>
    <w:rsid w:val="46F437F2"/>
    <w:rsid w:val="4A617874"/>
    <w:rsid w:val="4CCB5AE9"/>
    <w:rsid w:val="5A9C0231"/>
    <w:rsid w:val="5AE141C9"/>
    <w:rsid w:val="5AF06CDE"/>
    <w:rsid w:val="5BCB361A"/>
    <w:rsid w:val="64D15A76"/>
    <w:rsid w:val="6590141F"/>
    <w:rsid w:val="69855552"/>
    <w:rsid w:val="69E32339"/>
    <w:rsid w:val="6E006E25"/>
    <w:rsid w:val="71B154F4"/>
    <w:rsid w:val="723C54AF"/>
    <w:rsid w:val="74907156"/>
    <w:rsid w:val="74CC4CA7"/>
    <w:rsid w:val="78106080"/>
    <w:rsid w:val="79696D04"/>
    <w:rsid w:val="7E2E4D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qFormat/>
    <w:uiPriority w:val="0"/>
    <w:pPr>
      <w:spacing w:after="120"/>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9"/>
    <w:semiHidden/>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正文1"/>
    <w:qFormat/>
    <w:uiPriority w:val="0"/>
    <w:pPr>
      <w:widowControl w:val="0"/>
      <w:suppressAutoHyphens w:val="0"/>
      <w:bidi w:val="0"/>
      <w:spacing w:before="0" w:after="0"/>
      <w:jc w:val="both"/>
    </w:pPr>
    <w:rPr>
      <w:rFonts w:ascii="Times New Roman" w:hAnsi="Times New Roman" w:eastAsia="宋体" w:cs="Times New Roman"/>
      <w:color w:val="auto"/>
      <w:kern w:val="2"/>
      <w:sz w:val="21"/>
      <w:szCs w:val="24"/>
      <w:lang w:val="en-US" w:eastAsia="zh-CN" w:bidi="ar-SA"/>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东方正文"/>
    <w:basedOn w:val="9"/>
    <w:qFormat/>
    <w:uiPriority w:val="0"/>
    <w:pPr>
      <w:spacing w:line="400" w:lineRule="exact"/>
      <w:ind w:left="284" w:right="284" w:firstLine="0"/>
    </w:pPr>
    <w:rPr>
      <w:sz w:val="24"/>
      <w:szCs w:val="20"/>
    </w:rPr>
  </w:style>
  <w:style w:type="paragraph" w:customStyle="1" w:styleId="22">
    <w:name w:val="正文文本1"/>
    <w:basedOn w:val="9"/>
    <w:unhideWhenUsed/>
    <w:qFormat/>
    <w:uiPriority w:val="99"/>
    <w:pPr>
      <w:spacing w:before="0" w:after="120"/>
    </w:pPr>
  </w:style>
  <w:style w:type="paragraph" w:customStyle="1" w:styleId="23">
    <w:name w:val="列表段落"/>
    <w:basedOn w:val="9"/>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4</TotalTime>
  <ScaleCrop>false</ScaleCrop>
  <LinksUpToDate>false</LinksUpToDate>
  <CharactersWithSpaces>5057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汪桂丽</cp:lastModifiedBy>
  <cp:lastPrinted>2019-05-13T03:19:00Z</cp:lastPrinted>
  <dcterms:modified xsi:type="dcterms:W3CDTF">2021-08-09T09:01:39Z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E50877F2DDA14945A2402AB32CF95E80</vt:lpwstr>
  </property>
</Properties>
</file>