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  <w:lang w:val="en-US" w:eastAsia="zh-CN"/>
        </w:rPr>
        <w:t>恒百锐供应链管理股份有限公司</w:t>
      </w:r>
      <w:bookmarkEnd w:id="0"/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</w:rPr>
        <w:t>合同编号 :</w:t>
      </w:r>
      <w:bookmarkStart w:id="1" w:name="_GoBack"/>
      <w:bookmarkEnd w:id="1"/>
      <w:bookmarkStart w:id="2" w:name="合同编号"/>
      <w:r>
        <w:rPr>
          <w:b/>
          <w:szCs w:val="21"/>
        </w:rPr>
        <w:t>0795-2021-QEO</w:t>
      </w:r>
      <w:bookmarkEnd w:id="2"/>
    </w:p>
    <w:p>
      <w:pPr>
        <w:widowControl/>
        <w:jc w:val="left"/>
        <w:rPr>
          <w:b/>
          <w:szCs w:val="21"/>
        </w:rPr>
      </w:pPr>
    </w:p>
    <w:tbl>
      <w:tblPr>
        <w:tblStyle w:val="TableNormal"/>
        <w:tblW w:w="98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1134" w:bottom="737" w:left="1134" w:header="567" w:footer="567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mso-height-relative:page;mso-width-relative:page;position:absolute;width:84.3pt;z-index:251658240" coordsize="21600,21600" stroked="f">
          <v:stroke joinstyle="miter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iPriority="0" w:unhideWhenUsed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</w:style>
  <w:style w:type="paragraph" w:customStyle="1" w:styleId="CharChar">
    <w:name w:val="Char Char"/>
    <w:basedOn w:val="Normal"/>
    <w:qFormat/>
  </w:style>
  <w:style w:type="character" w:customStyle="1" w:styleId="Char">
    <w:name w:val="页眉 Char"/>
    <w:basedOn w:val="DefaultParagraphFont"/>
    <w:link w:val="Header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>番茄花园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qigou</cp:lastModifiedBy>
  <cp:revision>31</cp:revision>
  <cp:lastPrinted>2016-01-28T05:47:00Z</cp:lastPrinted>
  <dcterms:created xsi:type="dcterms:W3CDTF">2019-04-22T04:30:00Z</dcterms:created>
  <dcterms:modified xsi:type="dcterms:W3CDTF">2021-07-19T02:16:16Z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