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恒百锐供应链管理股份有限公司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滕宇飞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color w:val="0000FF"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金融风险管理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李凤仪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tbl>
            <w:tblPr>
              <w:tblStyle w:val="7"/>
              <w:tblW w:w="10673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8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19" w:hRule="atLeast"/>
                <w:jc w:val="center"/>
              </w:trPr>
              <w:tc>
                <w:tcPr>
                  <w:tcW w:w="1379" w:type="dxa"/>
                  <w:tcBorders>
                    <w:top w:val="single" w:color="auto" w:sz="8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Q：29.11.05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E：29.11.05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left="51"/>
                    <w:jc w:val="center"/>
                    <w:textAlignment w:val="auto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O：29.11.05</w:t>
                  </w:r>
                </w:p>
              </w:tc>
            </w:tr>
          </w:tbl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>销售：客户接触----合同评审----签订合同-----客户付款------入帐------采购-----客户提货-----验收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宋体"/>
              </w:rPr>
              <w:t>经识别</w:t>
            </w:r>
            <w:r>
              <w:rPr>
                <w:rFonts w:hint="eastAsia" w:cs="宋体"/>
                <w:b/>
              </w:rPr>
              <w:t>销售服务过程为特殊过程；公司进行了销售服务过程的确认。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重要环境因素：火灾  固废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制定了环境控制措施</w:t>
            </w:r>
            <w:r>
              <w:rPr>
                <w:rFonts w:hint="eastAsia"/>
                <w:b/>
                <w:sz w:val="20"/>
                <w:lang w:val="en-US" w:eastAsia="zh-CN"/>
              </w:rPr>
              <w:t>管理方</w:t>
            </w:r>
            <w:r>
              <w:rPr>
                <w:rFonts w:hint="eastAsia"/>
                <w:b/>
                <w:sz w:val="20"/>
              </w:rPr>
              <w:t>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不可接受风险的危险源：火灾 触电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制定危险源及控制措施方案。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hd w:val="clear" w:color="auto" w:fill="FFFFFF"/>
              <w:rPr>
                <w:b/>
                <w:sz w:val="21"/>
                <w:szCs w:val="21"/>
              </w:rPr>
            </w:pPr>
            <w:r>
              <w:rPr>
                <w:rFonts w:cs="宋体"/>
                <w:b/>
                <w:bCs/>
                <w:sz w:val="21"/>
                <w:szCs w:val="21"/>
              </w:rPr>
              <w:t>对二甲苯单位产品能源消耗限额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GB 31534-2015、</w:t>
            </w:r>
            <w:r>
              <w:rPr>
                <w:rFonts w:cs="宋体"/>
                <w:b/>
                <w:bCs/>
                <w:sz w:val="21"/>
                <w:szCs w:val="21"/>
              </w:rPr>
              <w:t>石油间二甲苯 第2部分：纯度及烃类杂质的测定 气相色谱法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SH/T 1766.2-2018</w:t>
            </w: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《化工产品采购HSSE管理协议》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由供方提供产品报告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footerReference r:id="rId6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bookmarkStart w:id="9" w:name="_GoBack"/>
    <w:bookmarkEnd w:id="9"/>
    <w:r>
      <w:pict>
        <v:shape id="文本框 1" o:spid="_x0000_s2050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  <w:p/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6357"/>
    <w:rsid w:val="00346357"/>
    <w:rsid w:val="005800F3"/>
    <w:rsid w:val="00580564"/>
    <w:rsid w:val="07513F51"/>
    <w:rsid w:val="0FC5186E"/>
    <w:rsid w:val="26BD1DA2"/>
    <w:rsid w:val="5AF43880"/>
    <w:rsid w:val="7352109D"/>
    <w:rsid w:val="74651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2021-08-26T07:11:46Z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