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滁州市德佳模具设备科技有限公司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="宋体" w:hAnsi="宋体"/>
                <w:szCs w:val="21"/>
              </w:rPr>
              <w:t>安徽省滁州市</w:t>
            </w:r>
            <w:r>
              <w:rPr>
                <w:rFonts w:hint="eastAsia" w:ascii="宋体" w:hAnsi="宋体"/>
                <w:szCs w:val="21"/>
              </w:rPr>
              <w:t>苏州北路377号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冯磊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18010922233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冯磊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0244-2020-Q-2021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单（多）工位真空成型机、侧（门）板成型线、旋转门发泡线、直线箱发泡线、真空吸塑模具、发泡模具、冷冲模具、折弯模具以及其他工装模具的生产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17.11.03;18.04.01;18.05.07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2021年07月31日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2021年08月01日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17.11.03,18.04.01,18.05.07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2021.7.31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企业基本信息（资质验证/范围再确认/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问题验证/投诉或事故/ 政府主管部门抽查情况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/证书使用情况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部门岗位、职责和权限； 部门目标和实现计划人员；组织的知识；分 析和评价；内部审核；不合格和纠正措 施。 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营销部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部门目标和实现计划；产品和服务的要求；外部提供的过程、产品和服务的控制；顾客满意。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8.2/8.4/9.1.2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2021.8.1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部门目标和实现计划；监视和测量资源；产品和服务的放行；不合格品控制。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7.1.5/8.6/8.7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部门目标和实现计划；基础设施；运行环境； 运行的策划和控制；设计和开发策划；生产和服务提供的控制；不合格品控制。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44A38"/>
    <w:rsid w:val="60A606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2021-08-03T21:27:28Z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