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-301625</wp:posOffset>
            </wp:positionH>
            <wp:positionV relativeFrom="paragraph">
              <wp:posOffset>-744220</wp:posOffset>
            </wp:positionV>
            <wp:extent cx="7164705" cy="10271760"/>
            <wp:effectExtent l="0" t="0" r="10795" b="2540"/>
            <wp:wrapNone/>
            <wp:docPr id="1" name="图片 1" descr="扫描全能王 2021-08-29 18.14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9 18.14_21"/>
                    <pic:cNvPicPr>
                      <a:picLocks noChangeAspect="1"/>
                    </pic:cNvPicPr>
                  </pic:nvPicPr>
                  <pic:blipFill>
                    <a:blip r:embed="rId6"/>
                    <a:stretch>
                      <a:fillRect/>
                    </a:stretch>
                  </pic:blipFill>
                  <pic:spPr>
                    <a:xfrm>
                      <a:off x="0" y="0"/>
                      <a:ext cx="7164705" cy="1027176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宝鸡市鑫钻石油机械有限公司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rFonts w:hint="eastAsia" w:eastAsia="宋体"/>
                <w:sz w:val="16"/>
                <w:szCs w:val="16"/>
                <w:lang w:eastAsia="zh-CN"/>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0355-2019-Q</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刘国斌</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宝鸡市通华石油设备制造有限公司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6F3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2021-08-29T11:43:02Z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63C64BFB088A426FBEE82009B34D02B9</vt:lpwstr>
  </property>
</Properties>
</file>