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4" w:name="_GoBack"/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-885825</wp:posOffset>
            </wp:positionV>
            <wp:extent cx="7154545" cy="10200640"/>
            <wp:effectExtent l="0" t="0" r="8255" b="10160"/>
            <wp:wrapNone/>
            <wp:docPr id="2" name="图片 2" descr="扫描全能王 2021-08-29 18.14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29 18.14_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4545" cy="1020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宝鸡市鑫钻石油机械有限公司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18.05.02;18.08.00;39.03.02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刘国斌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生产流程图：采购→检验→下料→机加工→铆焊→组装→喷涂（外包）→检验→交付；</w:t>
            </w:r>
            <w:r>
              <w:rPr>
                <w:sz w:val="21"/>
                <w:szCs w:val="21"/>
              </w:rPr>
              <w:t xml:space="preserve">  </w:t>
            </w:r>
          </w:p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修理技术服务流程图：合同签订→修理方案确定→修理技术服务→客户验收交付；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　　　　　　　　　　　</w:t>
            </w:r>
          </w:p>
          <w:p>
            <w:pPr>
              <w:spacing w:line="48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油泥、泥浆废弃物处理过程：收集→配药→搅拌→压滤→液固分别转运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关键过程</w:t>
            </w:r>
            <w:r>
              <w:rPr>
                <w:rFonts w:hint="eastAsia"/>
                <w:sz w:val="21"/>
                <w:szCs w:val="21"/>
              </w:rPr>
              <w:t>：焊接、组装、压滤，</w:t>
            </w:r>
            <w:r>
              <w:rPr>
                <w:sz w:val="21"/>
                <w:szCs w:val="21"/>
              </w:rPr>
              <w:t>需严格按照作业指导书生产</w:t>
            </w:r>
            <w:r>
              <w:rPr>
                <w:rFonts w:hint="eastAsia"/>
                <w:sz w:val="21"/>
                <w:szCs w:val="21"/>
              </w:rPr>
              <w:t>，重点</w:t>
            </w:r>
            <w:r>
              <w:rPr>
                <w:sz w:val="21"/>
                <w:szCs w:val="21"/>
              </w:rPr>
              <w:t>控制温度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压力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时间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GB/T17744-2015石油天然气工业钻井和修井设备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GB/T19190-2013石油天然气工业钻井和采油提升设备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SY/T5053.2-2007钻井井口控制设备及分流设备控制系统规范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SY/T5532-2016石油钻机绞车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JB/T4238-2005调速型液力偶合器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Q/SY XN0276-2015钻井废弃物无害化处理技术规范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GB 8978-1996 《污水综合排放标准》、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GB18599-2001 《一般工业固体废物贮存、处置场污染控制标准》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检验外观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规格</w:t>
            </w:r>
            <w:r>
              <w:rPr>
                <w:rFonts w:hint="eastAsia"/>
                <w:sz w:val="21"/>
                <w:szCs w:val="21"/>
              </w:rPr>
              <w:t>、力学性能。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D260DC"/>
    <w:rsid w:val="43A4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2021-08-29T11:34:25Z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170F76EA6DF64B2B894628A98B30D7CE</vt:lpwstr>
  </property>
</Properties>
</file>