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4" w:afterLines="30"/>
        <w:ind w:firstLine="321" w:firstLineChars="100"/>
        <w:rPr>
          <w:rFonts w:hint="eastAsia"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u w:val="single"/>
        </w:rPr>
        <w:t>智联万维科技有限公司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2021-N1QMS-4014142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Q:19.05.01,33.02.01,33.02.04,34.05.00</w:t>
            </w:r>
          </w:p>
          <w:p>
            <w:pPr>
              <w:jc w:val="center"/>
              <w:rPr>
                <w:b/>
                <w:sz w:val="21"/>
                <w:szCs w:val="21"/>
              </w:rPr>
            </w:pPr>
            <w:r>
              <w:rPr>
                <w:b/>
                <w:sz w:val="21"/>
                <w:szCs w:val="21"/>
              </w:rPr>
              <w:t>E:19.05.01,33.02.01,33.02.04,34.05.00</w:t>
            </w:r>
          </w:p>
          <w:p>
            <w:pPr>
              <w:jc w:val="center"/>
              <w:rPr>
                <w:b/>
                <w:sz w:val="21"/>
                <w:szCs w:val="21"/>
              </w:rPr>
            </w:pPr>
            <w:r>
              <w:rPr>
                <w:b/>
                <w:sz w:val="21"/>
                <w:szCs w:val="21"/>
              </w:rPr>
              <w:t>O:19.05.01,33.02.01,33.02.04,34.05.00</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朱晓丽</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2021-N1QMS-3205805</w:t>
            </w:r>
          </w:p>
          <w:p>
            <w:pPr>
              <w:jc w:val="center"/>
              <w:rPr>
                <w:b/>
                <w:sz w:val="21"/>
                <w:szCs w:val="21"/>
              </w:rPr>
            </w:pPr>
            <w:r>
              <w:rPr>
                <w:b/>
                <w:sz w:val="21"/>
                <w:szCs w:val="21"/>
              </w:rPr>
              <w:t>2021-N1EMS-3205805</w:t>
            </w:r>
          </w:p>
        </w:tc>
        <w:tc>
          <w:tcPr>
            <w:tcW w:w="1728" w:type="dxa"/>
            <w:gridSpan w:val="2"/>
            <w:vAlign w:val="center"/>
          </w:tcPr>
          <w:p>
            <w:pPr>
              <w:jc w:val="center"/>
              <w:rPr>
                <w:b/>
                <w:sz w:val="21"/>
                <w:szCs w:val="21"/>
              </w:rPr>
            </w:pPr>
            <w:r>
              <w:rPr>
                <w:b/>
                <w:sz w:val="21"/>
                <w:szCs w:val="21"/>
              </w:rPr>
              <w:t>Q:33.02.01,33.02.04,34.05.00</w:t>
            </w:r>
          </w:p>
          <w:p>
            <w:pPr>
              <w:jc w:val="center"/>
              <w:rPr>
                <w:b/>
                <w:sz w:val="21"/>
                <w:szCs w:val="21"/>
              </w:rPr>
            </w:pPr>
            <w:r>
              <w:rPr>
                <w:b/>
                <w:sz w:val="21"/>
                <w:szCs w:val="21"/>
              </w:rPr>
              <w:t>E:33.02.01,33.02.04,34.05.00</w:t>
            </w:r>
          </w:p>
        </w:tc>
        <w:tc>
          <w:tcPr>
            <w:tcW w:w="1729" w:type="dxa"/>
            <w:gridSpan w:val="2"/>
            <w:vAlign w:val="center"/>
          </w:tcPr>
          <w:p>
            <w:pPr>
              <w:jc w:val="center"/>
              <w:rPr>
                <w:b/>
                <w:sz w:val="21"/>
                <w:szCs w:val="21"/>
              </w:rPr>
            </w:pPr>
            <w:r>
              <w:rPr>
                <w:b/>
                <w:sz w:val="21"/>
                <w:szCs w:val="21"/>
              </w:rPr>
              <w:t>ISC-205805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vAlign w:val="center"/>
          </w:tcPr>
          <w:p>
            <w:pPr>
              <w:jc w:val="center"/>
              <w:rPr>
                <w:b/>
                <w:sz w:val="21"/>
                <w:szCs w:val="21"/>
              </w:rPr>
            </w:pPr>
            <w:r>
              <w:rPr>
                <w:b/>
                <w:sz w:val="21"/>
                <w:szCs w:val="21"/>
              </w:rPr>
              <w:t>李雅静</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2019-N1QMS-1218164</w:t>
            </w:r>
          </w:p>
          <w:p>
            <w:pPr>
              <w:jc w:val="center"/>
              <w:rPr>
                <w:b/>
                <w:sz w:val="21"/>
                <w:szCs w:val="21"/>
              </w:rPr>
            </w:pPr>
            <w:r>
              <w:rPr>
                <w:b/>
                <w:sz w:val="21"/>
                <w:szCs w:val="21"/>
              </w:rPr>
              <w:t>2020-N1EMS-1218164</w:t>
            </w:r>
          </w:p>
          <w:p>
            <w:pPr>
              <w:jc w:val="center"/>
              <w:rPr>
                <w:b/>
                <w:sz w:val="21"/>
                <w:szCs w:val="21"/>
              </w:rPr>
            </w:pPr>
            <w:r>
              <w:rPr>
                <w:b/>
                <w:sz w:val="21"/>
                <w:szCs w:val="21"/>
              </w:rPr>
              <w:t>2019-N1OHSMS-1218164</w:t>
            </w:r>
          </w:p>
        </w:tc>
        <w:tc>
          <w:tcPr>
            <w:tcW w:w="1728" w:type="dxa"/>
            <w:gridSpan w:val="2"/>
            <w:vAlign w:val="center"/>
          </w:tcPr>
          <w:p>
            <w:pPr>
              <w:jc w:val="center"/>
              <w:rPr>
                <w:b/>
                <w:sz w:val="21"/>
                <w:szCs w:val="21"/>
              </w:rPr>
            </w:pPr>
            <w:r>
              <w:rPr>
                <w:b/>
                <w:sz w:val="21"/>
                <w:szCs w:val="21"/>
              </w:rPr>
              <w:t>E:33.02.01,33.02.04,34.05.00</w:t>
            </w:r>
          </w:p>
          <w:p>
            <w:pPr>
              <w:jc w:val="center"/>
              <w:rPr>
                <w:b/>
                <w:sz w:val="21"/>
                <w:szCs w:val="21"/>
              </w:rPr>
            </w:pPr>
            <w:r>
              <w:rPr>
                <w:b/>
                <w:sz w:val="21"/>
                <w:szCs w:val="21"/>
              </w:rPr>
              <w:t>O:33.02.01,33.02.04,34.05.00</w:t>
            </w:r>
          </w:p>
        </w:tc>
        <w:tc>
          <w:tcPr>
            <w:tcW w:w="1729" w:type="dxa"/>
            <w:gridSpan w:val="2"/>
            <w:vAlign w:val="center"/>
          </w:tcPr>
          <w:p>
            <w:pPr>
              <w:jc w:val="center"/>
              <w:rPr>
                <w:b/>
                <w:sz w:val="21"/>
                <w:szCs w:val="21"/>
              </w:rPr>
            </w:pPr>
            <w:r>
              <w:rPr>
                <w:b/>
                <w:sz w:val="21"/>
                <w:szCs w:val="21"/>
              </w:rPr>
              <w:t>ISC-218164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10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67"/>
        <w:gridCol w:w="1177"/>
        <w:gridCol w:w="1736"/>
        <w:gridCol w:w="1062"/>
        <w:gridCol w:w="45"/>
        <w:gridCol w:w="236"/>
        <w:gridCol w:w="248"/>
        <w:gridCol w:w="1500"/>
        <w:gridCol w:w="281"/>
        <w:gridCol w:w="980"/>
        <w:gridCol w:w="281"/>
        <w:gridCol w:w="1219"/>
        <w:gridCol w:w="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1" w:type="dxa"/>
          <w:trHeight w:val="135" w:hRule="atLeast"/>
          <w:jc w:val="center"/>
        </w:trPr>
        <w:tc>
          <w:tcPr>
            <w:tcW w:w="2218" w:type="dxa"/>
            <w:gridSpan w:val="3"/>
            <w:vAlign w:val="center"/>
          </w:tcPr>
          <w:p>
            <w:pPr>
              <w:spacing w:line="260" w:lineRule="exact"/>
              <w:jc w:val="center"/>
              <w:rPr>
                <w:rFonts w:ascii="宋体"/>
                <w:b/>
                <w:sz w:val="16"/>
                <w:szCs w:val="16"/>
              </w:rPr>
            </w:pPr>
            <w:r>
              <w:rPr>
                <w:rFonts w:hint="eastAsia" w:ascii="宋体" w:hAnsi="宋体"/>
                <w:b/>
                <w:sz w:val="21"/>
              </w:rPr>
              <w:t>受审核方名称</w:t>
            </w:r>
          </w:p>
        </w:tc>
        <w:tc>
          <w:tcPr>
            <w:tcW w:w="4827" w:type="dxa"/>
            <w:gridSpan w:val="6"/>
          </w:tcPr>
          <w:p>
            <w:pPr>
              <w:spacing w:line="260" w:lineRule="exact"/>
              <w:rPr>
                <w:rFonts w:ascii="宋体"/>
                <w:b/>
                <w:color w:val="FF0000"/>
                <w:sz w:val="21"/>
              </w:rPr>
            </w:pPr>
            <w:r>
              <w:rPr>
                <w:rFonts w:ascii="宋体" w:hAnsi="宋体"/>
                <w:szCs w:val="21"/>
              </w:rPr>
              <w:t>智联万维科技有限公司</w:t>
            </w:r>
          </w:p>
        </w:tc>
        <w:tc>
          <w:tcPr>
            <w:tcW w:w="1261" w:type="dxa"/>
            <w:gridSpan w:val="2"/>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gridSpan w:val="2"/>
          </w:tcPr>
          <w:p>
            <w:pPr>
              <w:spacing w:line="260" w:lineRule="exact"/>
              <w:rPr>
                <w:rFonts w:hint="default" w:ascii="宋体" w:eastAsia="宋体"/>
                <w:b/>
                <w:sz w:val="21"/>
                <w:lang w:val="en-US" w:eastAsia="zh-CN"/>
              </w:rPr>
            </w:pPr>
            <w:r>
              <w:rPr>
                <w:rFonts w:hint="eastAsia" w:ascii="宋体"/>
                <w:b/>
                <w:sz w:val="21"/>
                <w:lang w:val="en-US" w:eastAsia="zh-CN"/>
              </w:rPr>
              <w:t>15人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1" w:type="dxa"/>
          <w:trHeight w:val="546" w:hRule="atLeast"/>
          <w:jc w:val="center"/>
        </w:trPr>
        <w:tc>
          <w:tcPr>
            <w:tcW w:w="2218" w:type="dxa"/>
            <w:gridSpan w:val="3"/>
            <w:vAlign w:val="center"/>
          </w:tcPr>
          <w:p>
            <w:pPr>
              <w:jc w:val="center"/>
              <w:rPr>
                <w:b/>
                <w:sz w:val="16"/>
                <w:szCs w:val="16"/>
              </w:rPr>
            </w:pPr>
            <w:r>
              <w:rPr>
                <w:rFonts w:hint="eastAsia" w:ascii="宋体" w:hAnsi="宋体"/>
                <w:b/>
                <w:sz w:val="21"/>
                <w:szCs w:val="21"/>
              </w:rPr>
              <w:t>注册地址</w:t>
            </w:r>
          </w:p>
        </w:tc>
        <w:tc>
          <w:tcPr>
            <w:tcW w:w="4827" w:type="dxa"/>
            <w:gridSpan w:val="6"/>
          </w:tcPr>
          <w:p>
            <w:pPr>
              <w:rPr>
                <w:rFonts w:ascii="宋体"/>
                <w:b/>
                <w:sz w:val="21"/>
              </w:rPr>
            </w:pPr>
            <w:bookmarkStart w:id="9" w:name="注册地址"/>
            <w:r>
              <w:rPr>
                <w:rFonts w:ascii="宋体"/>
                <w:b/>
                <w:sz w:val="21"/>
              </w:rPr>
              <w:t>北京市海淀区清华园内的清华大学学研综合楼B座二层206室</w:t>
            </w:r>
            <w:bookmarkEnd w:id="9"/>
          </w:p>
        </w:tc>
        <w:tc>
          <w:tcPr>
            <w:tcW w:w="1261" w:type="dxa"/>
            <w:gridSpan w:val="2"/>
            <w:vMerge w:val="restart"/>
            <w:vAlign w:val="center"/>
          </w:tcPr>
          <w:p>
            <w:pPr>
              <w:jc w:val="center"/>
              <w:rPr>
                <w:rFonts w:ascii="宋体"/>
                <w:b/>
                <w:sz w:val="21"/>
              </w:rPr>
            </w:pPr>
            <w:r>
              <w:rPr>
                <w:rFonts w:hint="eastAsia" w:ascii="宋体" w:hAnsi="宋体"/>
                <w:b/>
                <w:sz w:val="21"/>
              </w:rPr>
              <w:t>邮编</w:t>
            </w:r>
          </w:p>
        </w:tc>
        <w:tc>
          <w:tcPr>
            <w:tcW w:w="1500" w:type="dxa"/>
            <w:gridSpan w:val="2"/>
          </w:tcPr>
          <w:p>
            <w:pPr>
              <w:rPr>
                <w:rFonts w:ascii="宋体"/>
                <w:b/>
                <w:sz w:val="21"/>
              </w:rPr>
            </w:pPr>
            <w:bookmarkStart w:id="10" w:name="注册邮编"/>
            <w:r>
              <w:rPr>
                <w:rFonts w:ascii="宋体"/>
                <w:b/>
                <w:sz w:val="21"/>
              </w:rPr>
              <w:t>100084</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1" w:type="dxa"/>
          <w:trHeight w:val="434" w:hRule="atLeast"/>
          <w:jc w:val="center"/>
        </w:trPr>
        <w:tc>
          <w:tcPr>
            <w:tcW w:w="2218" w:type="dxa"/>
            <w:gridSpan w:val="3"/>
            <w:vAlign w:val="center"/>
          </w:tcPr>
          <w:p>
            <w:pPr>
              <w:jc w:val="center"/>
              <w:rPr>
                <w:rFonts w:ascii="宋体"/>
                <w:b/>
                <w:sz w:val="21"/>
                <w:szCs w:val="21"/>
              </w:rPr>
            </w:pPr>
            <w:r>
              <w:rPr>
                <w:rFonts w:hint="eastAsia" w:ascii="宋体" w:hAnsi="宋体"/>
                <w:b/>
                <w:sz w:val="21"/>
                <w:szCs w:val="21"/>
              </w:rPr>
              <w:t>经营地址</w:t>
            </w:r>
          </w:p>
        </w:tc>
        <w:tc>
          <w:tcPr>
            <w:tcW w:w="4827" w:type="dxa"/>
            <w:gridSpan w:val="6"/>
          </w:tcPr>
          <w:p>
            <w:pPr>
              <w:rPr>
                <w:rFonts w:ascii="宋体"/>
                <w:b/>
                <w:sz w:val="21"/>
              </w:rPr>
            </w:pPr>
            <w:bookmarkStart w:id="11" w:name="办公地址"/>
            <w:r>
              <w:rPr>
                <w:rFonts w:ascii="宋体"/>
                <w:b/>
                <w:sz w:val="21"/>
              </w:rPr>
              <w:t>北京市海淀区清华园内的清华大学学研综合楼B座二层206室</w:t>
            </w:r>
            <w:bookmarkEnd w:id="11"/>
          </w:p>
        </w:tc>
        <w:tc>
          <w:tcPr>
            <w:tcW w:w="1261" w:type="dxa"/>
            <w:gridSpan w:val="2"/>
            <w:vMerge w:val="continue"/>
            <w:vAlign w:val="center"/>
          </w:tcPr>
          <w:p>
            <w:pPr>
              <w:jc w:val="center"/>
              <w:rPr>
                <w:rFonts w:ascii="宋体"/>
                <w:b/>
                <w:sz w:val="21"/>
              </w:rPr>
            </w:pPr>
          </w:p>
        </w:tc>
        <w:tc>
          <w:tcPr>
            <w:tcW w:w="1500" w:type="dxa"/>
            <w:gridSpan w:val="2"/>
          </w:tcPr>
          <w:p>
            <w:pPr>
              <w:rPr>
                <w:rFonts w:ascii="宋体"/>
                <w:b/>
                <w:sz w:val="21"/>
              </w:rPr>
            </w:pPr>
            <w:bookmarkStart w:id="12" w:name="办公邮编"/>
            <w:r>
              <w:rPr>
                <w:rFonts w:ascii="宋体"/>
                <w:b/>
                <w:sz w:val="21"/>
              </w:rPr>
              <w:t>100084</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1" w:type="dxa"/>
          <w:trHeight w:val="374" w:hRule="atLeast"/>
          <w:jc w:val="center"/>
        </w:trPr>
        <w:tc>
          <w:tcPr>
            <w:tcW w:w="2218" w:type="dxa"/>
            <w:gridSpan w:val="3"/>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827" w:type="dxa"/>
            <w:gridSpan w:val="6"/>
          </w:tcPr>
          <w:p>
            <w:pPr>
              <w:rPr>
                <w:rFonts w:ascii="宋体"/>
                <w:b/>
                <w:sz w:val="21"/>
              </w:rPr>
            </w:pPr>
            <w:bookmarkStart w:id="13" w:name="生产地址Add"/>
            <w:r>
              <w:rPr>
                <w:rFonts w:ascii="宋体"/>
                <w:b/>
                <w:sz w:val="21"/>
              </w:rPr>
              <w:t>北京市海淀区清华园内的清华大学学研综合楼B座二层206室</w:t>
            </w:r>
            <w:bookmarkEnd w:id="13"/>
          </w:p>
        </w:tc>
        <w:tc>
          <w:tcPr>
            <w:tcW w:w="1261" w:type="dxa"/>
            <w:gridSpan w:val="2"/>
            <w:vMerge w:val="continue"/>
            <w:vAlign w:val="center"/>
          </w:tcPr>
          <w:p>
            <w:pPr>
              <w:jc w:val="center"/>
              <w:rPr>
                <w:rFonts w:ascii="宋体"/>
                <w:b/>
                <w:sz w:val="21"/>
              </w:rPr>
            </w:pPr>
          </w:p>
        </w:tc>
        <w:tc>
          <w:tcPr>
            <w:tcW w:w="1500" w:type="dxa"/>
            <w:gridSpan w:val="2"/>
          </w:tcPr>
          <w:p>
            <w:pPr>
              <w:rPr>
                <w:rFonts w:ascii="宋体"/>
                <w:b/>
                <w:sz w:val="21"/>
              </w:rPr>
            </w:pPr>
            <w:bookmarkStart w:id="14" w:name="生产邮编"/>
            <w:r>
              <w:rPr>
                <w:rFonts w:ascii="宋体"/>
                <w:b/>
                <w:sz w:val="21"/>
              </w:rPr>
              <w:t>100084</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3"/>
            <w:vAlign w:val="center"/>
          </w:tcPr>
          <w:p>
            <w:pPr>
              <w:jc w:val="center"/>
              <w:rPr>
                <w:rFonts w:ascii="宋体"/>
                <w:b/>
                <w:sz w:val="21"/>
              </w:rPr>
            </w:pPr>
            <w:r>
              <w:rPr>
                <w:rFonts w:hint="eastAsia" w:ascii="宋体" w:hAnsi="宋体"/>
                <w:b/>
                <w:sz w:val="21"/>
              </w:rPr>
              <w:t>联系人</w:t>
            </w:r>
          </w:p>
        </w:tc>
        <w:tc>
          <w:tcPr>
            <w:tcW w:w="1736" w:type="dxa"/>
          </w:tcPr>
          <w:p>
            <w:pPr>
              <w:rPr>
                <w:rFonts w:ascii="宋体"/>
                <w:b/>
                <w:sz w:val="21"/>
              </w:rPr>
            </w:pPr>
            <w:bookmarkStart w:id="15" w:name="联系人"/>
            <w:r>
              <w:rPr>
                <w:rFonts w:ascii="宋体"/>
                <w:b/>
                <w:sz w:val="21"/>
              </w:rPr>
              <w:t>侯晨晨</w:t>
            </w:r>
            <w:bookmarkEnd w:id="15"/>
          </w:p>
        </w:tc>
        <w:tc>
          <w:tcPr>
            <w:tcW w:w="1343" w:type="dxa"/>
            <w:gridSpan w:val="3"/>
            <w:vAlign w:val="center"/>
          </w:tcPr>
          <w:p>
            <w:pPr>
              <w:jc w:val="center"/>
              <w:rPr>
                <w:rFonts w:ascii="宋体"/>
                <w:b/>
                <w:sz w:val="21"/>
              </w:rPr>
            </w:pPr>
            <w:r>
              <w:rPr>
                <w:rFonts w:hint="eastAsia" w:ascii="宋体" w:hAnsi="宋体"/>
                <w:b/>
                <w:sz w:val="21"/>
              </w:rPr>
              <w:t>电话</w:t>
            </w:r>
            <w:r>
              <w:rPr>
                <w:b/>
                <w:sz w:val="16"/>
                <w:szCs w:val="16"/>
              </w:rPr>
              <w:t>.</w:t>
            </w:r>
          </w:p>
        </w:tc>
        <w:tc>
          <w:tcPr>
            <w:tcW w:w="2029" w:type="dxa"/>
            <w:gridSpan w:val="3"/>
            <w:vAlign w:val="center"/>
          </w:tcPr>
          <w:p>
            <w:pPr>
              <w:jc w:val="center"/>
              <w:rPr>
                <w:rFonts w:ascii="宋体"/>
                <w:b/>
                <w:sz w:val="21"/>
              </w:rPr>
            </w:pPr>
            <w:bookmarkStart w:id="16" w:name="联系人电话Add"/>
            <w:r>
              <w:rPr>
                <w:rFonts w:ascii="宋体"/>
                <w:b/>
                <w:sz w:val="21"/>
              </w:rPr>
              <w:t>010-62799880</w:t>
            </w:r>
            <w:bookmarkEnd w:id="16"/>
          </w:p>
        </w:tc>
        <w:tc>
          <w:tcPr>
            <w:tcW w:w="1261" w:type="dxa"/>
            <w:gridSpan w:val="2"/>
            <w:vAlign w:val="center"/>
          </w:tcPr>
          <w:p>
            <w:pPr>
              <w:jc w:val="center"/>
              <w:rPr>
                <w:rFonts w:ascii="宋体"/>
                <w:b/>
                <w:sz w:val="21"/>
              </w:rPr>
            </w:pPr>
            <w:r>
              <w:rPr>
                <w:rFonts w:hint="eastAsia" w:ascii="宋体" w:hAnsi="宋体"/>
                <w:b/>
                <w:sz w:val="21"/>
              </w:rPr>
              <w:t>传真</w:t>
            </w:r>
          </w:p>
        </w:tc>
        <w:tc>
          <w:tcPr>
            <w:tcW w:w="1500" w:type="dxa"/>
            <w:gridSpan w:val="2"/>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3"/>
            <w:vAlign w:val="center"/>
          </w:tcPr>
          <w:p>
            <w:pPr>
              <w:jc w:val="center"/>
              <w:rPr>
                <w:rFonts w:ascii="宋体" w:hAnsi="宋体"/>
                <w:b/>
                <w:sz w:val="21"/>
                <w:szCs w:val="21"/>
              </w:rPr>
            </w:pPr>
            <w:r>
              <w:rPr>
                <w:rFonts w:hint="eastAsia" w:ascii="宋体" w:hAnsi="宋体"/>
                <w:b/>
                <w:sz w:val="21"/>
                <w:szCs w:val="21"/>
              </w:rPr>
              <w:t>法人代表</w:t>
            </w:r>
          </w:p>
        </w:tc>
        <w:tc>
          <w:tcPr>
            <w:tcW w:w="1736" w:type="dxa"/>
          </w:tcPr>
          <w:p>
            <w:pPr>
              <w:rPr>
                <w:rFonts w:ascii="宋体" w:hAnsi="宋体"/>
                <w:b/>
                <w:sz w:val="21"/>
                <w:szCs w:val="21"/>
              </w:rPr>
            </w:pPr>
            <w:bookmarkStart w:id="18" w:name="法人"/>
            <w:r>
              <w:rPr>
                <w:rFonts w:ascii="宋体" w:hAnsi="宋体"/>
                <w:b/>
                <w:sz w:val="21"/>
                <w:szCs w:val="21"/>
              </w:rPr>
              <w:t>张英志</w:t>
            </w:r>
            <w:bookmarkEnd w:id="18"/>
          </w:p>
        </w:tc>
        <w:tc>
          <w:tcPr>
            <w:tcW w:w="1343" w:type="dxa"/>
            <w:gridSpan w:val="3"/>
            <w:vAlign w:val="center"/>
          </w:tcPr>
          <w:p>
            <w:pPr>
              <w:jc w:val="center"/>
              <w:rPr>
                <w:rFonts w:ascii="宋体" w:hAnsi="宋体"/>
                <w:b/>
                <w:sz w:val="21"/>
                <w:szCs w:val="21"/>
              </w:rPr>
            </w:pPr>
            <w:r>
              <w:rPr>
                <w:rFonts w:hint="eastAsia" w:ascii="宋体" w:hAnsi="宋体"/>
                <w:b/>
                <w:sz w:val="21"/>
                <w:szCs w:val="21"/>
              </w:rPr>
              <w:t>总经理</w:t>
            </w:r>
          </w:p>
        </w:tc>
        <w:tc>
          <w:tcPr>
            <w:tcW w:w="2029" w:type="dxa"/>
            <w:gridSpan w:val="3"/>
          </w:tcPr>
          <w:p>
            <w:pPr>
              <w:rPr>
                <w:rFonts w:ascii="宋体" w:hAnsi="宋体"/>
                <w:b/>
                <w:sz w:val="21"/>
                <w:szCs w:val="21"/>
              </w:rPr>
            </w:pPr>
            <w:r>
              <w:rPr>
                <w:rFonts w:ascii="宋体" w:hAnsi="宋体"/>
                <w:b/>
                <w:sz w:val="21"/>
                <w:szCs w:val="21"/>
              </w:rPr>
              <w:t>张英志</w:t>
            </w:r>
          </w:p>
        </w:tc>
        <w:tc>
          <w:tcPr>
            <w:tcW w:w="1261" w:type="dxa"/>
            <w:gridSpan w:val="2"/>
            <w:vAlign w:val="center"/>
          </w:tcPr>
          <w:p>
            <w:pPr>
              <w:jc w:val="center"/>
              <w:rPr>
                <w:rFonts w:ascii="宋体" w:hAnsi="宋体"/>
                <w:b/>
                <w:sz w:val="21"/>
                <w:szCs w:val="21"/>
              </w:rPr>
            </w:pPr>
            <w:r>
              <w:rPr>
                <w:rFonts w:hint="eastAsia" w:ascii="宋体" w:hAnsi="宋体"/>
                <w:b/>
                <w:sz w:val="21"/>
                <w:szCs w:val="21"/>
              </w:rPr>
              <w:t>管理者代表</w:t>
            </w:r>
          </w:p>
        </w:tc>
        <w:tc>
          <w:tcPr>
            <w:tcW w:w="1500" w:type="dxa"/>
            <w:gridSpan w:val="2"/>
          </w:tcPr>
          <w:p>
            <w:pPr>
              <w:rPr>
                <w:rFonts w:ascii="宋体"/>
                <w:b/>
                <w:sz w:val="21"/>
              </w:rPr>
            </w:pPr>
            <w:bookmarkStart w:id="19" w:name="管理者代表"/>
            <w:r>
              <w:rPr>
                <w:rFonts w:ascii="宋体"/>
                <w:b/>
                <w:sz w:val="21"/>
              </w:rPr>
              <w:t>侯晨晨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1" w:type="dxa"/>
          <w:trHeight w:val="357" w:hRule="atLeast"/>
          <w:jc w:val="center"/>
        </w:trPr>
        <w:tc>
          <w:tcPr>
            <w:tcW w:w="2218" w:type="dxa"/>
            <w:gridSpan w:val="3"/>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202</w:t>
            </w:r>
            <w:r>
              <w:rPr>
                <w:rFonts w:hint="eastAsia" w:ascii="宋体" w:hAnsi="宋体"/>
                <w:b/>
                <w:sz w:val="21"/>
                <w:szCs w:val="21"/>
                <w:lang w:val="en-US" w:eastAsia="zh-CN"/>
              </w:rPr>
              <w:t>1</w:t>
            </w:r>
            <w:r>
              <w:rPr>
                <w:rFonts w:ascii="宋体" w:hAnsi="宋体"/>
                <w:b/>
                <w:sz w:val="21"/>
                <w:szCs w:val="21"/>
              </w:rPr>
              <w:t>年08月</w:t>
            </w:r>
            <w:r>
              <w:rPr>
                <w:rFonts w:hint="eastAsia" w:ascii="宋体" w:hAnsi="宋体"/>
                <w:b/>
                <w:sz w:val="21"/>
                <w:szCs w:val="21"/>
                <w:lang w:val="en-US" w:eastAsia="zh-CN"/>
              </w:rPr>
              <w:t>3</w:t>
            </w:r>
            <w:r>
              <w:rPr>
                <w:rFonts w:ascii="宋体" w:hAnsi="宋体"/>
                <w:b/>
                <w:sz w:val="21"/>
                <w:szCs w:val="21"/>
              </w:rPr>
              <w:t>日 上午至2020年08月</w:t>
            </w:r>
            <w:r>
              <w:rPr>
                <w:rFonts w:hint="eastAsia" w:ascii="宋体" w:hAnsi="宋体"/>
                <w:b/>
                <w:sz w:val="21"/>
                <w:szCs w:val="21"/>
                <w:lang w:val="en-US" w:eastAsia="zh-CN"/>
              </w:rPr>
              <w:t>3</w:t>
            </w:r>
            <w:r>
              <w:rPr>
                <w:rFonts w:ascii="宋体" w:hAnsi="宋体"/>
                <w:b/>
                <w:sz w:val="21"/>
                <w:szCs w:val="21"/>
              </w:rPr>
              <w:t xml:space="preserve">日 </w:t>
            </w:r>
            <w:r>
              <w:rPr>
                <w:rFonts w:hint="eastAsia" w:ascii="宋体" w:hAnsi="宋体"/>
                <w:b/>
                <w:sz w:val="21"/>
                <w:szCs w:val="21"/>
                <w:lang w:val="en-US" w:eastAsia="zh-CN"/>
              </w:rPr>
              <w:t>下</w:t>
            </w:r>
            <w:r>
              <w:rPr>
                <w:rFonts w:ascii="宋体" w:hAnsi="宋体"/>
                <w:b/>
                <w:sz w:val="21"/>
                <w:szCs w:val="21"/>
              </w:rPr>
              <w:t>午</w:t>
            </w:r>
            <w:bookmarkEnd w:id="20"/>
          </w:p>
        </w:tc>
        <w:tc>
          <w:tcPr>
            <w:tcW w:w="2029" w:type="dxa"/>
            <w:gridSpan w:val="4"/>
            <w:vAlign w:val="center"/>
          </w:tcPr>
          <w:p>
            <w:pPr>
              <w:rPr>
                <w:rFonts w:ascii="宋体" w:hAnsi="宋体"/>
                <w:b/>
                <w:sz w:val="21"/>
                <w:szCs w:val="21"/>
              </w:rPr>
            </w:pPr>
            <w:r>
              <w:rPr>
                <w:rFonts w:hint="eastAsia" w:ascii="宋体" w:hAnsi="宋体"/>
                <w:b/>
                <w:sz w:val="21"/>
                <w:szCs w:val="21"/>
              </w:rPr>
              <w:t>一体化审核</w:t>
            </w:r>
          </w:p>
        </w:tc>
        <w:tc>
          <w:tcPr>
            <w:tcW w:w="2761" w:type="dxa"/>
            <w:gridSpan w:val="4"/>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1" w:type="dxa"/>
          <w:cantSplit/>
          <w:trHeight w:val="1296" w:hRule="atLeast"/>
          <w:jc w:val="center"/>
        </w:trPr>
        <w:tc>
          <w:tcPr>
            <w:tcW w:w="2218" w:type="dxa"/>
            <w:gridSpan w:val="3"/>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10"/>
          </w:tcPr>
          <w:p>
            <w:pPr>
              <w:spacing w:line="0" w:lineRule="atLeast"/>
              <w:jc w:val="left"/>
              <w:rPr>
                <w:rFonts w:hint="eastAsia" w:ascii="宋体" w:hAnsi="宋体"/>
              </w:rPr>
            </w:pPr>
            <w:bookmarkStart w:id="21" w:name="审核范围"/>
            <w:r>
              <w:rPr>
                <w:rFonts w:hint="eastAsia" w:ascii="宋体" w:hAnsi="宋体"/>
              </w:rPr>
              <w:t>Q：软件开发；计算机系统集成服务</w:t>
            </w:r>
          </w:p>
          <w:p>
            <w:pPr>
              <w:spacing w:line="0" w:lineRule="atLeast"/>
              <w:jc w:val="left"/>
              <w:rPr>
                <w:rFonts w:hint="eastAsia" w:ascii="宋体" w:hAnsi="宋体"/>
              </w:rPr>
            </w:pPr>
            <w:r>
              <w:rPr>
                <w:rFonts w:hint="eastAsia" w:ascii="宋体" w:hAnsi="宋体"/>
              </w:rPr>
              <w:t>E：软件开发；计算机系统集成服务及相关环境管理活动</w:t>
            </w:r>
          </w:p>
          <w:p>
            <w:pPr>
              <w:snapToGrid w:val="0"/>
              <w:spacing w:line="420" w:lineRule="auto"/>
              <w:rPr>
                <w:rFonts w:ascii="宋体" w:hAnsi="宋体"/>
                <w:b/>
                <w:sz w:val="21"/>
                <w:szCs w:val="21"/>
              </w:rPr>
            </w:pPr>
            <w:r>
              <w:rPr>
                <w:rFonts w:hint="eastAsia" w:ascii="宋体" w:hAnsi="宋体"/>
              </w:rPr>
              <w:t>O：软件开发；计算机系统集成服务及相关职业健康安全管理活动</w:t>
            </w:r>
            <w:bookmarkEnd w:id="21"/>
            <w:r>
              <w:rPr>
                <w:rFonts w:hint="eastAsia" w:ascii="宋体" w:hAnsi="宋体"/>
              </w:rPr>
              <w:t xml:space="preserve">  </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1" w:type="dxa"/>
          <w:cantSplit/>
          <w:trHeight w:val="838" w:hRule="atLeast"/>
          <w:jc w:val="center"/>
        </w:trPr>
        <w:tc>
          <w:tcPr>
            <w:tcW w:w="1041" w:type="dxa"/>
            <w:gridSpan w:val="2"/>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10"/>
          </w:tcPr>
          <w:p>
            <w:pPr>
              <w:spacing w:line="360" w:lineRule="exact"/>
              <w:rPr>
                <w:rFonts w:ascii="宋体" w:hAnsi="宋体"/>
                <w:b/>
                <w:sz w:val="21"/>
                <w:szCs w:val="21"/>
              </w:rPr>
            </w:pPr>
            <w:r>
              <w:rPr>
                <w:rFonts w:hint="eastAsia" w:ascii="宋体" w:hAnsi="宋体"/>
                <w:b/>
                <w:bCs w:val="0"/>
                <w:color w:val="FF0000"/>
                <w:szCs w:val="21"/>
              </w:rPr>
              <w:t xml:space="preserve"> </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1" w:type="dxa"/>
          <w:trHeight w:val="600" w:hRule="atLeast"/>
          <w:jc w:val="center"/>
        </w:trPr>
        <w:tc>
          <w:tcPr>
            <w:tcW w:w="674" w:type="dxa"/>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4387" w:type="dxa"/>
            <w:gridSpan w:val="5"/>
          </w:tcPr>
          <w:p>
            <w:pPr>
              <w:rPr>
                <w:b/>
                <w:szCs w:val="21"/>
              </w:rPr>
            </w:pPr>
            <w:bookmarkStart w:id="22" w:name="专业代码"/>
          </w:p>
          <w:p>
            <w:pPr>
              <w:rPr>
                <w:b/>
                <w:szCs w:val="21"/>
              </w:rPr>
            </w:pPr>
          </w:p>
          <w:p>
            <w:pPr>
              <w:rPr>
                <w:b/>
                <w:szCs w:val="21"/>
              </w:rPr>
            </w:pPr>
            <w:r>
              <w:rPr>
                <w:b/>
                <w:szCs w:val="21"/>
              </w:rPr>
              <w:t>Q：19.05.01;33.02.01;33.02.04;34.05.00</w:t>
            </w:r>
          </w:p>
          <w:p>
            <w:pPr>
              <w:rPr>
                <w:b/>
                <w:szCs w:val="21"/>
              </w:rPr>
            </w:pPr>
            <w:r>
              <w:rPr>
                <w:b/>
                <w:szCs w:val="21"/>
              </w:rPr>
              <w:t>E：19.05.01;33.02.01;33.02.04;34.05.00</w:t>
            </w:r>
          </w:p>
          <w:p>
            <w:pPr>
              <w:spacing w:line="260" w:lineRule="exact"/>
              <w:rPr>
                <w:rFonts w:ascii="宋体" w:hAnsi="宋体"/>
                <w:b/>
                <w:sz w:val="21"/>
                <w:szCs w:val="21"/>
              </w:rPr>
            </w:pPr>
            <w:r>
              <w:rPr>
                <w:b/>
                <w:szCs w:val="21"/>
              </w:rPr>
              <w:t>O：19.05.01;33.02.01;33.02.04;34.05.00</w:t>
            </w:r>
            <w:bookmarkEnd w:id="22"/>
          </w:p>
        </w:tc>
        <w:tc>
          <w:tcPr>
            <w:tcW w:w="484" w:type="dxa"/>
            <w:gridSpan w:val="2"/>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500" w:type="dxa"/>
          </w:tcPr>
          <w:p>
            <w:pPr>
              <w:spacing w:line="260" w:lineRule="exact"/>
            </w:pPr>
          </w:p>
          <w:p>
            <w:pPr>
              <w:pStyle w:val="14"/>
              <w:rPr>
                <w:rFonts w:ascii="宋体" w:hAnsi="宋体"/>
                <w:b/>
                <w:sz w:val="21"/>
                <w:szCs w:val="21"/>
              </w:rPr>
            </w:pPr>
          </w:p>
          <w:p>
            <w:pPr>
              <w:pStyle w:val="14"/>
              <w:rPr>
                <w:rFonts w:ascii="宋体" w:hAnsi="宋体"/>
                <w:b/>
                <w:sz w:val="21"/>
                <w:szCs w:val="21"/>
              </w:rPr>
            </w:pPr>
          </w:p>
          <w:p>
            <w:pPr>
              <w:pStyle w:val="14"/>
              <w:rPr>
                <w:rFonts w:hint="default" w:ascii="宋体" w:hAnsi="宋体" w:eastAsia="宋体"/>
                <w:b/>
                <w:sz w:val="21"/>
                <w:szCs w:val="21"/>
                <w:lang w:val="en-US" w:eastAsia="zh-CN"/>
              </w:rPr>
            </w:pPr>
            <w:r>
              <w:rPr>
                <w:rFonts w:hint="eastAsia" w:ascii="宋体" w:hAnsi="宋体"/>
                <w:b/>
                <w:sz w:val="21"/>
                <w:szCs w:val="21"/>
                <w:lang w:val="en-US" w:eastAsia="zh-CN"/>
              </w:rPr>
              <w:t>2022.8.22</w:t>
            </w:r>
          </w:p>
        </w:tc>
        <w:tc>
          <w:tcPr>
            <w:tcW w:w="1261" w:type="dxa"/>
            <w:gridSpan w:val="2"/>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gridSpan w:val="2"/>
          </w:tcPr>
          <w:p>
            <w:pPr>
              <w:spacing w:line="260" w:lineRule="exact"/>
            </w:pPr>
          </w:p>
          <w:p>
            <w:pPr>
              <w:pStyle w:val="14"/>
              <w:rPr>
                <w:rFonts w:ascii="宋体"/>
                <w:b/>
                <w:sz w:val="21"/>
              </w:rPr>
            </w:pPr>
          </w:p>
          <w:p>
            <w:pPr>
              <w:pStyle w:val="14"/>
              <w:rPr>
                <w:rFonts w:ascii="宋体"/>
                <w:b/>
                <w:sz w:val="21"/>
              </w:rPr>
            </w:pPr>
            <w:r>
              <w:rPr>
                <w:rFonts w:ascii="宋体" w:hAnsi="宋体"/>
                <w:b/>
                <w:sz w:val="21"/>
                <w:szCs w:val="21"/>
              </w:rPr>
              <w:t>2020年08月15日 上午至2020年08月16日 上午</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eastAsia"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w:t>
      </w:r>
    </w:p>
    <w:p>
      <w:pPr>
        <w:spacing w:before="163" w:beforeLines="50"/>
        <w:ind w:left="-194" w:leftChars="-81" w:firstLine="211" w:firstLineChars="100"/>
        <w:rPr>
          <w:rFonts w:hint="eastAsia" w:ascii="宋体" w:hAnsi="宋体"/>
          <w:b/>
          <w:sz w:val="21"/>
          <w:szCs w:val="21"/>
        </w:rPr>
      </w:pPr>
      <w:r>
        <w:rPr>
          <w:rFonts w:hint="eastAsia" w:ascii="宋体" w:hAnsi="宋体"/>
          <w:b/>
          <w:sz w:val="21"/>
          <w:szCs w:val="21"/>
        </w:rPr>
        <w:t>远程在线监控传输模块开发技术服务</w:t>
      </w:r>
      <w:r>
        <w:rPr>
          <w:rFonts w:hint="eastAsia" w:ascii="宋体" w:hAnsi="宋体"/>
          <w:b/>
          <w:sz w:val="21"/>
          <w:szCs w:val="21"/>
        </w:rPr>
        <w:tab/>
      </w:r>
      <w:r>
        <w:rPr>
          <w:rFonts w:hint="eastAsia" w:ascii="宋体" w:hAnsi="宋体"/>
          <w:b/>
          <w:sz w:val="21"/>
          <w:szCs w:val="21"/>
        </w:rPr>
        <w:t>计算机系统集成</w:t>
      </w:r>
      <w:r>
        <w:rPr>
          <w:rFonts w:hint="eastAsia" w:ascii="宋体" w:hAnsi="宋体"/>
          <w:b/>
          <w:sz w:val="21"/>
          <w:szCs w:val="21"/>
        </w:rPr>
        <w:tab/>
      </w:r>
    </w:p>
    <w:p>
      <w:pPr>
        <w:spacing w:before="163" w:beforeLines="50"/>
        <w:ind w:left="-194" w:leftChars="-81" w:firstLine="211" w:firstLineChars="100"/>
        <w:rPr>
          <w:rFonts w:hint="eastAsia" w:ascii="宋体" w:hAnsi="宋体"/>
          <w:b/>
          <w:sz w:val="21"/>
          <w:szCs w:val="21"/>
        </w:rPr>
      </w:pPr>
      <w:r>
        <w:rPr>
          <w:rFonts w:hint="eastAsia" w:ascii="宋体" w:hAnsi="宋体"/>
          <w:b/>
          <w:sz w:val="21"/>
          <w:szCs w:val="21"/>
        </w:rPr>
        <w:t>北京市朝阳区安外北苑大羊坊8号</w:t>
      </w:r>
      <w:r>
        <w:rPr>
          <w:rFonts w:hint="eastAsia" w:ascii="宋体" w:hAnsi="宋体"/>
          <w:b/>
          <w:sz w:val="21"/>
          <w:szCs w:val="21"/>
        </w:rPr>
        <w:tab/>
      </w:r>
      <w:r>
        <w:rPr>
          <w:rFonts w:hint="eastAsia" w:ascii="宋体" w:hAnsi="宋体"/>
          <w:b/>
          <w:sz w:val="21"/>
          <w:szCs w:val="21"/>
        </w:rPr>
        <w:t>距公司8公里</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17</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3</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rPr>
            </w:pPr>
            <w:r>
              <w:t>1</w:t>
            </w:r>
            <w:r>
              <w:rPr>
                <w:rFonts w:hint="eastAsia"/>
              </w:rPr>
              <w:t>、组织及其环境的识别情况</w:t>
            </w:r>
          </w:p>
          <w:p>
            <w:pPr>
              <w:pStyle w:val="14"/>
              <w:rPr>
                <w:rFonts w:hint="eastAsia" w:ascii="Times New Roman" w:hAnsi="Times New Roman" w:eastAsia="宋体" w:cs="Times New Roman"/>
                <w:bCs w:val="0"/>
                <w:color w:val="000000" w:themeColor="text1"/>
                <w:spacing w:val="0"/>
                <w:kern w:val="2"/>
                <w:sz w:val="21"/>
                <w:szCs w:val="21"/>
                <w:lang w:val="en-US" w:eastAsia="zh-CN" w:bidi="ar-SA"/>
              </w:rPr>
            </w:pPr>
            <w:r>
              <w:rPr>
                <w:rFonts w:ascii="宋体" w:hAnsi="宋体"/>
                <w:szCs w:val="21"/>
              </w:rPr>
              <w:t>智联万维科技有限公司</w:t>
            </w:r>
            <w:r>
              <w:rPr>
                <w:rFonts w:hint="eastAsia" w:ascii="Times New Roman" w:hAnsi="Times New Roman" w:eastAsia="宋体" w:cs="Times New Roman"/>
                <w:bCs w:val="0"/>
                <w:color w:val="000000" w:themeColor="text1"/>
                <w:spacing w:val="0"/>
                <w:kern w:val="2"/>
                <w:sz w:val="21"/>
                <w:szCs w:val="21"/>
                <w:lang w:val="en-US" w:eastAsia="zh-CN" w:bidi="ar-SA"/>
              </w:rPr>
              <w:t xml:space="preserve"> ，成立于2016-05-31 - 2066-05-30，企业信用代码91110108MA005U5T5T,注册资本为5000万元的有限责任公司技术开发、技术推广、技术转让、技术咨询、技术服务；计算机系统服务；基础软件服务；应用软件服务；软件开发；软件咨询；产品设计；模型设计；包装装潢设计；教育咨询（中介服务除外）；经济贸易咨询；文化咨询；体育咨询；公共关系服务；会议服务；销售自行开发后的产品、计算机、软件及辅助设备、电子产品、通讯设备、汽车摩托车零配件、针、纺织品、文化用品、化工产品（不含危险化学品及一类易制毒化学品）、机械设备；货物进出口、代理进出口、技术进出口。（企业依法自主选择经营项目，开展经营活动；依法须经批准的项目，经相关部门批准后依批准的内容开展经营活动；不得从事本市产业政策禁止和限制类项目的经营活动。公司的主要客户群为全国各地的企业、学校、机关的；公司采用总经理负责制，层层把关，让用户真正放心</w:t>
            </w:r>
          </w:p>
          <w:p>
            <w:pPr>
              <w:pStyle w:val="14"/>
              <w:rPr>
                <w:rFonts w:hint="eastAsia" w:ascii="宋体" w:hAnsi="宋体" w:eastAsia="宋体" w:cs="宋体"/>
                <w:bCs/>
                <w:color w:val="auto"/>
                <w:spacing w:val="10"/>
                <w:kern w:val="0"/>
                <w:sz w:val="21"/>
                <w:szCs w:val="21"/>
                <w:lang w:val="en-US" w:eastAsia="zh-CN" w:bidi="ar-SA"/>
              </w:rPr>
            </w:pPr>
            <w:r>
              <w:rPr>
                <w:rFonts w:hint="eastAsia"/>
              </w:rPr>
              <w:t>策划基本体现了P</w:t>
            </w:r>
            <w:r>
              <w:rPr>
                <w:rFonts w:hint="eastAsia"/>
                <w:lang w:val="en-US" w:eastAsia="zh-CN"/>
              </w:rPr>
              <w:t>DC</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rPr>
                <w:rFonts w:hint="eastAsia" w:ascii="宋体" w:hAnsi="宋体"/>
                <w:b/>
                <w:sz w:val="21"/>
                <w:szCs w:val="21"/>
              </w:rPr>
            </w:pPr>
            <w:r>
              <w:rPr>
                <w:rFonts w:hint="eastAsia" w:ascii="宋体" w:hAnsi="宋体"/>
                <w:b/>
                <w:sz w:val="21"/>
                <w:szCs w:val="21"/>
              </w:rPr>
              <w:t>相关方需求和期望识别情况</w:t>
            </w:r>
          </w:p>
          <w:p>
            <w:pPr>
              <w:numPr>
                <w:ilvl w:val="0"/>
                <w:numId w:val="0"/>
              </w:numPr>
            </w:pPr>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spacing w:line="240" w:lineRule="exact"/>
              <w:rPr>
                <w:rFonts w:ascii="宋体" w:hAnsi="宋体"/>
                <w:b/>
                <w:sz w:val="21"/>
                <w:szCs w:val="21"/>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480" w:lineRule="exact"/>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480" w:lineRule="exact"/>
              <w:rPr>
                <w:rFonts w:ascii="楷体" w:hAnsi="楷体" w:eastAsia="楷体"/>
                <w:sz w:val="24"/>
              </w:rPr>
            </w:pPr>
            <w:r>
              <w:rPr>
                <w:rFonts w:hint="eastAsia" w:ascii="楷体" w:hAnsi="楷体" w:eastAsia="楷体"/>
                <w:sz w:val="24"/>
              </w:rPr>
              <w:t>公司的管理方针是：</w:t>
            </w:r>
          </w:p>
          <w:p>
            <w:pPr>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守法诚信追求精品，预防污染保护环境；</w:t>
            </w:r>
          </w:p>
          <w:p>
            <w:pPr>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关爱员工健康安全，持续改进追求卓越。</w:t>
            </w:r>
          </w:p>
          <w:p>
            <w:pPr>
              <w:pStyle w:val="14"/>
            </w:pPr>
            <w:r>
              <w:rPr>
                <w:rFonts w:hint="eastAsia"/>
                <w:color w:val="000000"/>
              </w:rPr>
              <w:t>通过管理手册的分发使全体员工理解方针，通过内审和管理评审保持方针的适宜性。</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ind w:leftChars="0"/>
            </w:pPr>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20-2021</w:t>
            </w:r>
            <w:r>
              <w:rPr>
                <w:rFonts w:hint="eastAsia"/>
              </w:rPr>
              <w:t>年度 SWOT经营环境分析及对策报告”，对影响公司经营和发展的各种因素（内外部环境、相关方要求等）进行分析，确定需要应对的风险和机遇</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tabs>
                <w:tab w:val="left" w:pos="6390"/>
              </w:tabs>
              <w:spacing w:line="360" w:lineRule="auto"/>
              <w:rPr>
                <w:rFonts w:hint="eastAsia" w:ascii="Arial" w:hAnsi="Arial" w:eastAsia="宋体" w:cs="Arial"/>
                <w:b/>
                <w:bCs/>
                <w:color w:val="000000"/>
                <w:kern w:val="0"/>
                <w:sz w:val="21"/>
                <w:szCs w:val="21"/>
                <w:lang w:val="en-US" w:eastAsia="zh-CN" w:bidi="ar-SA"/>
              </w:rPr>
            </w:pPr>
            <w:r>
              <w:rPr>
                <w:rFonts w:hint="eastAsia" w:ascii="Arial" w:hAnsi="Arial" w:eastAsia="宋体" w:cs="Arial"/>
                <w:b/>
                <w:bCs/>
                <w:color w:val="000000"/>
                <w:kern w:val="0"/>
                <w:sz w:val="21"/>
                <w:szCs w:val="21"/>
                <w:lang w:val="en-US" w:eastAsia="zh-CN" w:bidi="ar-SA"/>
              </w:rPr>
              <w:t>软件设计开发：</w:t>
            </w:r>
          </w:p>
          <w:p>
            <w:pPr>
              <w:tabs>
                <w:tab w:val="left" w:pos="6390"/>
              </w:tabs>
              <w:spacing w:line="360" w:lineRule="auto"/>
              <w:rPr>
                <w:rFonts w:hint="eastAsia" w:ascii="Arial" w:hAnsi="Arial" w:eastAsia="宋体" w:cs="Arial"/>
                <w:color w:val="000000"/>
                <w:kern w:val="0"/>
                <w:sz w:val="21"/>
                <w:szCs w:val="21"/>
                <w:lang w:val="en-US" w:eastAsia="zh-CN" w:bidi="ar-SA"/>
              </w:rPr>
            </w:pPr>
            <w:r>
              <w:rPr>
                <w:rFonts w:hint="eastAsia" w:ascii="Arial" w:hAnsi="Arial" w:eastAsia="宋体" w:cs="Arial"/>
                <w:color w:val="000000"/>
                <w:kern w:val="0"/>
                <w:sz w:val="21"/>
                <w:szCs w:val="21"/>
                <w:lang w:val="en-US" w:eastAsia="zh-CN" w:bidi="ar-SA"/>
              </w:rPr>
              <w:t>顾客沟通</w:t>
            </w:r>
            <w:r>
              <w:rPr>
                <w:rFonts w:hint="default" w:ascii="Arial" w:hAnsi="Arial" w:eastAsia="宋体" w:cs="Arial"/>
                <w:color w:val="000000"/>
                <w:kern w:val="0"/>
                <w:sz w:val="21"/>
                <w:szCs w:val="21"/>
                <w:lang w:val="en-US" w:eastAsia="zh-CN" w:bidi="ar-SA"/>
              </w:rPr>
              <w:t>—</w:t>
            </w:r>
            <w:r>
              <w:rPr>
                <w:rFonts w:hint="eastAsia" w:ascii="Arial" w:hAnsi="Arial" w:eastAsia="宋体" w:cs="Arial"/>
                <w:color w:val="000000"/>
                <w:kern w:val="0"/>
                <w:sz w:val="21"/>
                <w:szCs w:val="21"/>
                <w:lang w:val="en-US" w:eastAsia="zh-CN" w:bidi="ar-SA"/>
              </w:rPr>
              <w:t>合同评审</w:t>
            </w:r>
            <w:r>
              <w:rPr>
                <w:rFonts w:hint="default" w:ascii="Arial" w:hAnsi="Arial" w:eastAsia="宋体" w:cs="Arial"/>
                <w:color w:val="000000"/>
                <w:kern w:val="0"/>
                <w:sz w:val="21"/>
                <w:szCs w:val="21"/>
                <w:lang w:val="en-US" w:eastAsia="zh-CN" w:bidi="ar-SA"/>
              </w:rPr>
              <w:t>—</w:t>
            </w:r>
            <w:r>
              <w:rPr>
                <w:rFonts w:hint="eastAsia" w:ascii="Arial" w:hAnsi="Arial" w:eastAsia="宋体" w:cs="Arial"/>
                <w:color w:val="000000"/>
                <w:kern w:val="0"/>
                <w:sz w:val="21"/>
                <w:szCs w:val="21"/>
                <w:lang w:val="en-US" w:eastAsia="zh-CN" w:bidi="ar-SA"/>
              </w:rPr>
              <w:t>签订合同--立项--需求分析--概要设计--详细设计</w:t>
            </w:r>
            <w:r>
              <w:rPr>
                <w:rFonts w:hint="default" w:ascii="Arial" w:hAnsi="Arial" w:eastAsia="宋体" w:cs="Arial"/>
                <w:color w:val="000000"/>
                <w:kern w:val="0"/>
                <w:sz w:val="21"/>
                <w:szCs w:val="21"/>
                <w:lang w:val="en-US" w:eastAsia="zh-CN" w:bidi="ar-SA"/>
              </w:rPr>
              <w:t>—</w:t>
            </w:r>
            <w:r>
              <w:rPr>
                <w:rFonts w:hint="eastAsia" w:ascii="Arial" w:hAnsi="Arial" w:eastAsia="宋体" w:cs="Arial"/>
                <w:color w:val="000000"/>
                <w:kern w:val="0"/>
                <w:sz w:val="21"/>
                <w:szCs w:val="21"/>
                <w:lang w:val="en-US" w:eastAsia="zh-CN" w:bidi="ar-SA"/>
              </w:rPr>
              <w:t>客户确认--测试--配置标识--部署</w:t>
            </w:r>
            <w:r>
              <w:rPr>
                <w:rFonts w:hint="default" w:ascii="Arial" w:hAnsi="Arial" w:eastAsia="宋体" w:cs="Arial"/>
                <w:color w:val="000000"/>
                <w:kern w:val="0"/>
                <w:sz w:val="21"/>
                <w:szCs w:val="21"/>
                <w:lang w:val="en-US" w:eastAsia="zh-CN" w:bidi="ar-SA"/>
              </w:rPr>
              <w:t>—</w:t>
            </w:r>
            <w:r>
              <w:rPr>
                <w:rFonts w:hint="eastAsia" w:ascii="Arial" w:hAnsi="Arial" w:eastAsia="宋体" w:cs="Arial"/>
                <w:color w:val="000000"/>
                <w:kern w:val="0"/>
                <w:sz w:val="21"/>
                <w:szCs w:val="21"/>
                <w:lang w:val="en-US" w:eastAsia="zh-CN" w:bidi="ar-SA"/>
              </w:rPr>
              <w:t>交付使用</w:t>
            </w:r>
          </w:p>
          <w:p>
            <w:pPr>
              <w:tabs>
                <w:tab w:val="left" w:pos="6390"/>
              </w:tabs>
              <w:spacing w:line="360" w:lineRule="auto"/>
              <w:rPr>
                <w:rFonts w:hint="eastAsia" w:ascii="Arial" w:hAnsi="Arial" w:eastAsia="宋体" w:cs="Arial"/>
                <w:b/>
                <w:bCs/>
                <w:color w:val="000000"/>
                <w:kern w:val="0"/>
                <w:sz w:val="21"/>
                <w:szCs w:val="21"/>
                <w:lang w:val="en-US" w:eastAsia="zh-CN" w:bidi="ar-SA"/>
              </w:rPr>
            </w:pPr>
            <w:r>
              <w:rPr>
                <w:rFonts w:hint="eastAsia" w:ascii="Arial" w:hAnsi="Arial" w:eastAsia="宋体" w:cs="Arial"/>
                <w:b/>
                <w:bCs/>
                <w:color w:val="000000"/>
                <w:kern w:val="0"/>
                <w:sz w:val="21"/>
                <w:szCs w:val="21"/>
                <w:lang w:val="en-US" w:eastAsia="zh-CN" w:bidi="ar-SA"/>
              </w:rPr>
              <w:t>计算机系统集成实现过程流程：</w:t>
            </w:r>
          </w:p>
          <w:p>
            <w:pPr>
              <w:tabs>
                <w:tab w:val="left" w:pos="6390"/>
              </w:tabs>
              <w:spacing w:line="360" w:lineRule="auto"/>
              <w:rPr>
                <w:rFonts w:hint="eastAsia" w:ascii="Arial" w:hAnsi="Arial" w:eastAsia="宋体" w:cs="Arial"/>
                <w:color w:val="000000"/>
                <w:kern w:val="0"/>
                <w:sz w:val="21"/>
                <w:szCs w:val="21"/>
                <w:lang w:val="zh-CN" w:eastAsia="zh-CN" w:bidi="ar-SA"/>
              </w:rPr>
            </w:pPr>
            <w:r>
              <w:rPr>
                <w:rFonts w:hint="eastAsia" w:ascii="Arial" w:hAnsi="Arial" w:eastAsia="宋体" w:cs="Arial"/>
                <w:color w:val="000000"/>
                <w:kern w:val="0"/>
                <w:sz w:val="21"/>
                <w:szCs w:val="21"/>
                <w:lang w:val="en-US" w:eastAsia="zh-CN" w:bidi="ar-SA"/>
              </w:rPr>
              <w:t>合同评审—签订合同--立项—方案策划—制定方案—实施—测试—顾客确定--交付使用</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eastAsia="zh-CN"/>
              </w:rPr>
              <w:t>软件开发过程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lang w:eastAsia="zh-CN"/>
              </w:rPr>
              <w:t>软件开发过程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，不适用理由：                                                </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80" w:firstLineChars="200"/>
              <w:rPr>
                <w:szCs w:val="21"/>
              </w:rPr>
            </w:pPr>
            <w:r>
              <w:rPr>
                <w:rFonts w:hint="eastAsia"/>
                <w:szCs w:val="21"/>
              </w:rPr>
              <w:t>编制了</w:t>
            </w:r>
            <w:r>
              <w:rPr>
                <w:szCs w:val="21"/>
              </w:rPr>
              <w:t>《环境因素的识别与评价控制程序》</w:t>
            </w:r>
            <w:r>
              <w:rPr>
                <w:rFonts w:hint="eastAsia"/>
                <w:szCs w:val="21"/>
              </w:rPr>
              <w:t>符合标准要求.</w:t>
            </w:r>
          </w:p>
          <w:p>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rPr>
              <w:t>软件开发；计算机系统集成服务</w:t>
            </w:r>
            <w:r>
              <w:rPr>
                <w:rFonts w:hint="eastAsia" w:ascii="宋体" w:hAnsi="宋体"/>
                <w:szCs w:val="21"/>
              </w:rPr>
              <w:t>的技术推广服务及销售</w:t>
            </w:r>
            <w:r>
              <w:rPr>
                <w:rFonts w:hint="eastAsia" w:ascii="宋体" w:hAnsi="宋体"/>
                <w:sz w:val="24"/>
              </w:rPr>
              <w:t>服务</w:t>
            </w:r>
            <w:r>
              <w:rPr>
                <w:rFonts w:hint="eastAsia"/>
                <w:szCs w:val="21"/>
              </w:rPr>
              <w:t>过程，用打分法考虑了法规符合性、发生频次、影响范围等, 通过定性判断法，共识别出重大环境因素</w:t>
            </w:r>
            <w:r>
              <w:rPr>
                <w:szCs w:val="21"/>
              </w:rPr>
              <w:t>2</w:t>
            </w:r>
            <w:r>
              <w:rPr>
                <w:rFonts w:hint="eastAsia"/>
                <w:szCs w:val="21"/>
              </w:rPr>
              <w:t>项：固废排放、火灾，评价符合程序要求及公司的实际情况。</w:t>
            </w:r>
          </w:p>
          <w:p>
            <w:pPr>
              <w:spacing w:line="240" w:lineRule="exact"/>
              <w:rPr>
                <w:rFonts w:ascii="宋体" w:hAnsi="宋体"/>
                <w:b/>
                <w:sz w:val="21"/>
                <w:szCs w:val="21"/>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8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3</w:t>
            </w:r>
            <w:r>
              <w:rPr>
                <w:rFonts w:hint="eastAsia"/>
                <w:szCs w:val="21"/>
              </w:rPr>
              <w:t>项，涉及：火灾和触电</w:t>
            </w:r>
            <w:r>
              <w:rPr>
                <w:rFonts w:hint="eastAsia"/>
                <w:szCs w:val="21"/>
                <w:lang w:eastAsia="zh-CN"/>
              </w:rPr>
              <w:t>、</w:t>
            </w:r>
            <w:r>
              <w:rPr>
                <w:rFonts w:hint="eastAsia"/>
                <w:szCs w:val="21"/>
                <w:lang w:val="en-US" w:eastAsia="zh-CN"/>
              </w:rPr>
              <w:t>意外伤害</w:t>
            </w:r>
            <w:r>
              <w:rPr>
                <w:rFonts w:hint="eastAsia"/>
                <w:szCs w:val="21"/>
              </w:rPr>
              <w:t>，评价符合程序要求及公司的实际情况。对危险源的控制措施包括制定管理制度、监督检查、应急预案、培训等。</w:t>
            </w:r>
          </w:p>
          <w:p>
            <w:pPr>
              <w:spacing w:line="240" w:lineRule="exact"/>
              <w:rPr>
                <w:rFonts w:ascii="宋体" w:hAnsi="宋体"/>
                <w:b/>
                <w:sz w:val="21"/>
                <w:szCs w:val="21"/>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120</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14"/>
            </w:pPr>
          </w:p>
          <w:p>
            <w:pPr>
              <w:spacing w:line="240" w:lineRule="exact"/>
              <w:ind w:firstLine="480" w:firstLineChars="200"/>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14"/>
              <w:rPr>
                <w:rFonts w:ascii="宋体" w:hAnsi="宋体"/>
                <w:b/>
                <w:sz w:val="21"/>
                <w:szCs w:val="21"/>
              </w:rPr>
            </w:pPr>
            <w:r>
              <w:rPr>
                <w:rFonts w:hint="eastAsia"/>
                <w:color w:val="FF0000"/>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14"/>
              <w:rPr>
                <w:color w:val="auto"/>
              </w:rPr>
            </w:pPr>
          </w:p>
          <w:p>
            <w:pPr>
              <w:spacing w:line="300" w:lineRule="exact"/>
              <w:rPr>
                <w:rFonts w:ascii="宋体" w:hAnsi="宋体"/>
                <w:b/>
                <w:sz w:val="21"/>
                <w:szCs w:val="21"/>
              </w:rPr>
            </w:pPr>
            <w:r>
              <w:rPr>
                <w:rFonts w:hint="eastAsia"/>
                <w:bCs/>
                <w:color w:val="auto"/>
                <w:szCs w:val="21"/>
              </w:rPr>
              <w:t>该公司员工共</w:t>
            </w:r>
            <w:r>
              <w:rPr>
                <w:rFonts w:hint="eastAsia"/>
                <w:bCs/>
                <w:color w:val="auto"/>
                <w:szCs w:val="21"/>
                <w:lang w:val="en-US" w:eastAsia="zh-CN"/>
              </w:rPr>
              <w:t>15</w:t>
            </w:r>
            <w:r>
              <w:rPr>
                <w:rFonts w:hint="eastAsia"/>
                <w:bCs/>
                <w:color w:val="auto"/>
                <w:szCs w:val="21"/>
              </w:rPr>
              <w:t>人，管理人2人。有专业的</w:t>
            </w:r>
            <w:r>
              <w:rPr>
                <w:rFonts w:ascii="宋体" w:hAnsi="宋体"/>
                <w:b/>
                <w:color w:val="auto"/>
                <w:sz w:val="20"/>
                <w:szCs w:val="20"/>
              </w:rPr>
              <w:t>软件开发；计算机系统集成服务</w:t>
            </w:r>
            <w:r>
              <w:rPr>
                <w:rFonts w:hint="eastAsia" w:ascii="宋体" w:hAnsi="宋体"/>
                <w:b/>
                <w:color w:val="auto"/>
                <w:sz w:val="20"/>
                <w:szCs w:val="20"/>
                <w:lang w:val="en-US" w:eastAsia="zh-CN"/>
              </w:rPr>
              <w:t>人员</w:t>
            </w:r>
            <w:r>
              <w:rPr>
                <w:rFonts w:ascii="宋体" w:hAnsi="宋体"/>
                <w:b/>
                <w:color w:val="auto"/>
                <w:sz w:val="20"/>
                <w:szCs w:val="20"/>
              </w:rPr>
              <w:t>；</w:t>
            </w:r>
            <w:r>
              <w:rPr>
                <w:rFonts w:hint="eastAsia"/>
                <w:bCs/>
                <w:color w:val="auto"/>
                <w:szCs w:val="21"/>
              </w:rPr>
              <w:t>能满足</w:t>
            </w:r>
            <w:r>
              <w:rPr>
                <w:rFonts w:ascii="宋体" w:hAnsi="宋体"/>
                <w:b/>
                <w:color w:val="auto"/>
                <w:sz w:val="20"/>
                <w:szCs w:val="20"/>
              </w:rPr>
              <w:t>软件开发；计算机系统集成服务</w:t>
            </w:r>
            <w:r>
              <w:rPr>
                <w:rFonts w:hint="eastAsia" w:ascii="宋体" w:hAnsi="宋体"/>
                <w:b/>
                <w:color w:val="auto"/>
                <w:sz w:val="20"/>
                <w:szCs w:val="20"/>
                <w:lang w:val="en-US" w:eastAsia="zh-CN"/>
              </w:rPr>
              <w:t>的</w:t>
            </w:r>
            <w:r>
              <w:rPr>
                <w:rFonts w:hint="eastAsia"/>
                <w:bCs/>
                <w:color w:val="auto"/>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pPr>
            <w:r>
              <w:rPr>
                <w:rFonts w:hint="eastAsia"/>
              </w:rPr>
              <w:t>设备设施（包括信息系统）</w:t>
            </w:r>
          </w:p>
          <w:p>
            <w:pPr>
              <w:rPr>
                <w:rFonts w:hint="eastAsia"/>
                <w:lang w:val="zh-CN" w:eastAsia="zh-CN"/>
              </w:rPr>
            </w:pPr>
            <w:r>
              <w:rPr>
                <w:rFonts w:hint="eastAsia" w:cs="Times New Roman"/>
                <w:color w:val="auto"/>
                <w:szCs w:val="21"/>
                <w:lang w:eastAsia="zh-CN"/>
              </w:rPr>
              <w:t>技术开发设施：</w:t>
            </w:r>
            <w:r>
              <w:rPr>
                <w:rFonts w:hint="eastAsia"/>
                <w:lang w:val="zh-CN" w:eastAsia="zh-CN"/>
              </w:rPr>
              <w:t>容错服务器</w:t>
            </w:r>
            <w:r>
              <w:rPr>
                <w:rFonts w:hint="eastAsia"/>
                <w:lang w:val="zh-CN" w:eastAsia="zh-CN"/>
              </w:rPr>
              <w:tab/>
            </w:r>
            <w:r>
              <w:rPr>
                <w:rFonts w:hint="eastAsia"/>
                <w:lang w:val="zh-CN" w:eastAsia="zh-CN"/>
              </w:rPr>
              <w:t>RF230、磁盘阵列</w:t>
            </w:r>
            <w:r>
              <w:rPr>
                <w:rFonts w:hint="eastAsia"/>
                <w:lang w:val="zh-CN" w:eastAsia="zh-CN"/>
              </w:rPr>
              <w:tab/>
            </w:r>
            <w:r>
              <w:rPr>
                <w:rFonts w:hint="eastAsia"/>
                <w:lang w:val="zh-CN" w:eastAsia="zh-CN"/>
              </w:rPr>
              <w:t>R3004-L、光纤交换机</w:t>
            </w:r>
            <w:r>
              <w:rPr>
                <w:rFonts w:hint="eastAsia"/>
                <w:lang w:val="zh-CN" w:eastAsia="zh-CN"/>
              </w:rPr>
              <w:tab/>
            </w:r>
            <w:r>
              <w:rPr>
                <w:rFonts w:hint="eastAsia"/>
                <w:lang w:val="zh-CN" w:eastAsia="zh-CN"/>
              </w:rPr>
              <w:t>E550-24T16X</w:t>
            </w:r>
          </w:p>
          <w:p>
            <w:pPr>
              <w:rPr>
                <w:rFonts w:hint="eastAsia" w:ascii="宋体" w:hAnsi="宋体"/>
                <w:color w:val="auto"/>
                <w:spacing w:val="-10"/>
                <w:sz w:val="20"/>
                <w:szCs w:val="20"/>
              </w:rPr>
            </w:pPr>
            <w:r>
              <w:rPr>
                <w:rFonts w:hint="eastAsia"/>
                <w:lang w:val="zh-CN" w:eastAsia="zh-CN"/>
              </w:rPr>
              <w:t>、防火墙</w:t>
            </w:r>
            <w:r>
              <w:rPr>
                <w:rFonts w:hint="eastAsia"/>
                <w:lang w:val="zh-CN" w:eastAsia="zh-CN"/>
              </w:rPr>
              <w:tab/>
            </w:r>
            <w:r>
              <w:rPr>
                <w:rFonts w:hint="eastAsia"/>
                <w:lang w:val="zh-CN" w:eastAsia="zh-CN"/>
              </w:rPr>
              <w:t>PowerV6000-F3310、万用表</w:t>
            </w:r>
            <w:r>
              <w:rPr>
                <w:rFonts w:hint="eastAsia"/>
                <w:lang w:val="zh-CN" w:eastAsia="zh-CN"/>
              </w:rPr>
              <w:tab/>
            </w:r>
            <w:r>
              <w:rPr>
                <w:rFonts w:hint="eastAsia"/>
                <w:lang w:val="zh-CN" w:eastAsia="zh-CN"/>
              </w:rPr>
              <w:t>、钢卷尺</w:t>
            </w:r>
          </w:p>
          <w:p>
            <w:pPr>
              <w:rPr>
                <w:rFonts w:hint="eastAsia"/>
              </w:rPr>
            </w:pPr>
            <w:r>
              <w:rPr>
                <w:rFonts w:hint="eastAsia"/>
              </w:rPr>
              <w:t>办公设备:电脑/打印机/传真机/电话等。提供维修保养计划及记录，满足要求。</w:t>
            </w:r>
          </w:p>
          <w:p>
            <w:pPr>
              <w:rPr>
                <w:rFonts w:hint="eastAsia"/>
              </w:rPr>
            </w:pPr>
            <w:r>
              <w:rPr>
                <w:rFonts w:hint="eastAsia"/>
              </w:rPr>
              <w:t>环保设施包括：垃圾桶、</w:t>
            </w:r>
            <w:r>
              <w:rPr>
                <w:rFonts w:hint="eastAsia"/>
                <w:lang w:eastAsia="zh-CN"/>
              </w:rPr>
              <w:t>灭火器</w:t>
            </w:r>
            <w:r>
              <w:rPr>
                <w:rFonts w:hint="eastAsia"/>
              </w:rPr>
              <w:t>；安全设施配置主要有：标识牌、灭火器、消防器材等</w:t>
            </w:r>
          </w:p>
          <w:p>
            <w:pPr>
              <w:spacing w:line="240" w:lineRule="exact"/>
              <w:rPr>
                <w:rFonts w:hint="eastAsia" w:eastAsia="宋体"/>
                <w:lang w:val="en-US" w:eastAsia="zh-CN"/>
              </w:rPr>
            </w:pPr>
            <w:r>
              <w:rPr>
                <w:rFonts w:hint="eastAsia"/>
                <w:lang w:val="en-US" w:eastAsia="zh-CN"/>
              </w:rPr>
              <w:t>办公区没有配置灭火器等消防设施</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eastAsia"/>
                <w:b/>
                <w:bCs/>
              </w:rPr>
            </w:pPr>
            <w:r>
              <w:rPr>
                <w:rFonts w:hint="eastAsia"/>
                <w:lang w:val="zh-CN" w:eastAsia="zh-CN"/>
              </w:rPr>
              <w:t>研发设备也是监视测量资源：容错服务器</w:t>
            </w:r>
            <w:r>
              <w:rPr>
                <w:rFonts w:hint="eastAsia"/>
                <w:lang w:val="zh-CN" w:eastAsia="zh-CN"/>
              </w:rPr>
              <w:tab/>
            </w:r>
            <w:r>
              <w:rPr>
                <w:rFonts w:hint="eastAsia"/>
                <w:lang w:val="zh-CN" w:eastAsia="zh-CN"/>
              </w:rPr>
              <w:t>RF230、磁盘阵列</w:t>
            </w:r>
            <w:r>
              <w:rPr>
                <w:rFonts w:hint="eastAsia"/>
                <w:lang w:val="zh-CN" w:eastAsia="zh-CN"/>
              </w:rPr>
              <w:tab/>
            </w:r>
            <w:r>
              <w:rPr>
                <w:rFonts w:hint="eastAsia"/>
                <w:lang w:val="zh-CN" w:eastAsia="zh-CN"/>
              </w:rPr>
              <w:t>R3004-L、光纤交换机</w:t>
            </w:r>
            <w:r>
              <w:rPr>
                <w:rFonts w:hint="eastAsia"/>
                <w:lang w:val="zh-CN" w:eastAsia="zh-CN"/>
              </w:rPr>
              <w:tab/>
            </w:r>
            <w:r>
              <w:rPr>
                <w:rFonts w:hint="eastAsia"/>
                <w:lang w:val="zh-CN" w:eastAsia="zh-CN"/>
              </w:rPr>
              <w:t>E550-24T16X、防火墙</w:t>
            </w:r>
            <w:r>
              <w:rPr>
                <w:rFonts w:hint="eastAsia"/>
                <w:lang w:val="zh-CN" w:eastAsia="zh-CN"/>
              </w:rPr>
              <w:tab/>
            </w:r>
            <w:r>
              <w:rPr>
                <w:rFonts w:hint="eastAsia"/>
                <w:lang w:val="zh-CN" w:eastAsia="zh-CN"/>
              </w:rPr>
              <w:t>PowerV6000-F3310、</w:t>
            </w:r>
          </w:p>
          <w:p>
            <w:pPr>
              <w:spacing w:line="240" w:lineRule="exact"/>
              <w:rPr>
                <w:rFonts w:ascii="宋体" w:hAnsi="宋体"/>
                <w:b/>
                <w:sz w:val="21"/>
                <w:szCs w:val="21"/>
              </w:rPr>
            </w:pPr>
            <w:r>
              <w:rPr>
                <w:rFonts w:hint="eastAsia"/>
                <w:lang w:eastAsia="zh-CN"/>
              </w:rPr>
              <w:t>同时</w:t>
            </w:r>
            <w:r>
              <w:rPr>
                <w:rFonts w:hint="eastAsia"/>
              </w:rPr>
              <w:t>编制有</w:t>
            </w:r>
            <w:r>
              <w:rPr>
                <w:rFonts w:ascii="宋体" w:hAnsi="宋体"/>
                <w:b/>
                <w:color w:val="000000" w:themeColor="text1"/>
                <w:sz w:val="20"/>
                <w:szCs w:val="20"/>
              </w:rPr>
              <w:t>软件开发；计算机系统集成服务</w:t>
            </w:r>
            <w:r>
              <w:rPr>
                <w:rFonts w:hint="eastAsia"/>
              </w:rPr>
              <w:t>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default" w:ascii="宋体" w:hAnsi="宋体" w:eastAsia="宋体"/>
                <w:color w:val="000000" w:themeColor="text1"/>
                <w:sz w:val="20"/>
                <w:szCs w:val="20"/>
                <w:lang w:val="en-US" w:eastAsia="zh-CN"/>
              </w:rPr>
            </w:pPr>
            <w:r>
              <w:rPr>
                <w:rFonts w:hint="eastAsia"/>
              </w:rPr>
              <w:t>配备有</w:t>
            </w:r>
            <w:r>
              <w:rPr>
                <w:rFonts w:hint="eastAsia"/>
                <w:lang w:eastAsia="zh-CN"/>
              </w:rPr>
              <w:t>垃圾桶</w:t>
            </w:r>
            <w:r>
              <w:rPr>
                <w:rFonts w:hint="eastAsia"/>
                <w:lang w:val="en-US" w:eastAsia="zh-CN"/>
              </w:rPr>
              <w:t xml:space="preserve">  办公区没有配置灭火器</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bCs/>
              </w:rPr>
            </w:pPr>
            <w:r>
              <w:rPr>
                <w:rFonts w:hint="eastAsia"/>
                <w:b/>
                <w:bCs/>
              </w:rPr>
              <w:t>职业健康安全设施：</w:t>
            </w:r>
          </w:p>
          <w:p>
            <w:pPr>
              <w:spacing w:line="240" w:lineRule="exact"/>
              <w:rPr>
                <w:rFonts w:hint="default" w:ascii="宋体" w:hAnsi="宋体" w:eastAsia="宋体"/>
                <w:color w:val="000000" w:themeColor="text1"/>
                <w:sz w:val="20"/>
                <w:szCs w:val="20"/>
                <w:lang w:val="en-US" w:eastAsia="zh-CN"/>
              </w:rPr>
            </w:pPr>
            <w:r>
              <w:rPr>
                <w:rFonts w:hint="eastAsia"/>
                <w:lang w:val="en-US" w:eastAsia="zh-CN"/>
              </w:rPr>
              <w:t>办公区没有配置灭火器</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14"/>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14"/>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14"/>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w:t>
            </w:r>
            <w:r>
              <w:rPr>
                <w:rFonts w:hint="eastAsia" w:ascii="宋体" w:hAnsi="宋体"/>
              </w:rPr>
              <w:t>应用软件开发；计算机系统集成服务</w:t>
            </w:r>
            <w:r>
              <w:rPr>
                <w:rFonts w:hint="eastAsia"/>
                <w:bCs/>
                <w:szCs w:val="21"/>
              </w:rPr>
              <w:t>为特殊过程，公司制定了“特殊过程评审、确认准则”，</w:t>
            </w:r>
            <w:r>
              <w:rPr>
                <w:rFonts w:hint="eastAsia" w:ascii="宋体" w:hAnsi="宋体" w:cs="宋体"/>
                <w:color w:val="000000"/>
                <w:szCs w:val="21"/>
              </w:rPr>
              <w:t>从审核过程看，公司的产品质量管理基本受控</w:t>
            </w:r>
            <w:r>
              <w:rPr>
                <w:rFonts w:hint="eastAsia" w:ascii="宋体" w:hAnsi="宋体" w:cs="宋体"/>
                <w:color w:val="000000"/>
                <w:szCs w:val="21"/>
                <w:lang w:eastAsia="zh-CN"/>
              </w:rPr>
              <w:t>，</w:t>
            </w:r>
            <w:r>
              <w:rPr>
                <w:rFonts w:hint="eastAsia"/>
                <w:bCs/>
                <w:szCs w:val="21"/>
              </w:rPr>
              <w:t>能对重要过程实施控制</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300" w:lineRule="exact"/>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pPr>
            <w:r>
              <w:rPr>
                <w:rFonts w:hint="eastAsia"/>
              </w:rPr>
              <w:t>6. 不合格品/项的识别、控制;</w:t>
            </w:r>
          </w:p>
          <w:p>
            <w:pPr>
              <w:spacing w:line="240" w:lineRule="exact"/>
            </w:pPr>
          </w:p>
          <w:p>
            <w:pPr>
              <w:pStyle w:val="14"/>
              <w:rPr>
                <w:rFonts w:ascii="宋体" w:hAnsi="宋体"/>
                <w:b/>
                <w:sz w:val="21"/>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对不可接受风险（火灾）</w:t>
            </w:r>
            <w:r>
              <w:rPr>
                <w:rFonts w:hint="eastAsia"/>
                <w:bCs/>
                <w:szCs w:val="21"/>
                <w:lang w:eastAsia="zh-CN"/>
              </w:rPr>
              <w:t>、</w:t>
            </w:r>
            <w:r>
              <w:rPr>
                <w:rFonts w:hint="eastAsia"/>
                <w:bCs/>
                <w:szCs w:val="21"/>
                <w:lang w:val="en-US" w:eastAsia="zh-CN"/>
              </w:rPr>
              <w:t>触电、意外伤害</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rPr>
            </w:pPr>
            <w:r>
              <w:rPr>
                <w:rFonts w:hint="eastAsia"/>
                <w:b/>
                <w:bCs/>
              </w:rPr>
              <w:t>11 .对危险化学品销售、使用、储存、运输处置，规定的执行力度(必要时); （适用时）</w:t>
            </w:r>
          </w:p>
          <w:p>
            <w:pPr>
              <w:pStyle w:val="14"/>
              <w:rPr>
                <w:b/>
                <w:sz w:val="20"/>
                <w:szCs w:val="20"/>
              </w:rPr>
            </w:pPr>
          </w:p>
          <w:p>
            <w:pPr>
              <w:pStyle w:val="14"/>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rFonts w:hint="eastAsia"/>
              </w:rPr>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lang w:val="en-US" w:eastAsia="zh-CN"/>
              </w:rPr>
              <w:t>2020年1-6</w:t>
            </w:r>
            <w:r>
              <w:rPr>
                <w:rFonts w:hint="eastAsia"/>
              </w:rPr>
              <w:t>月目标的测量，总体已达到或超过了规定的目标值。</w:t>
            </w:r>
          </w:p>
          <w:p>
            <w:pPr>
              <w:spacing w:line="240" w:lineRule="exact"/>
              <w:ind w:firstLine="105" w:firstLine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rFonts w:ascii="宋体" w:hAnsi="宋体"/>
                <w:b/>
                <w:sz w:val="21"/>
                <w:szCs w:val="21"/>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月实施，满意度评价</w:t>
            </w:r>
            <w:r>
              <w:rPr>
                <w:rFonts w:hint="eastAsia" w:ascii="宋体" w:hAnsi="宋体" w:cs="宋体"/>
                <w:szCs w:val="21"/>
                <w:highlight w:val="none"/>
                <w:lang w:val="en-US" w:eastAsia="zh-CN"/>
              </w:rPr>
              <w:t>98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0"/>
              <w:rPr>
                <w:rFonts w:ascii="宋体" w:hAnsi="宋体"/>
                <w:b/>
                <w:sz w:val="21"/>
                <w:szCs w:val="21"/>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before="120" w:line="160" w:lineRule="exact"/>
              <w:ind w:left="0" w:leftChars="0" w:firstLine="0" w:firstLineChars="0"/>
              <w:rPr>
                <w:rFonts w:hint="eastAsia" w:ascii="宋体" w:hAnsi="宋体"/>
                <w:b/>
                <w:color w:val="auto"/>
                <w:sz w:val="21"/>
                <w:szCs w:val="21"/>
              </w:rPr>
            </w:pPr>
            <w:r>
              <w:rPr>
                <w:rFonts w:hint="eastAsia" w:ascii="宋体" w:hAnsi="宋体"/>
                <w:b/>
                <w:color w:val="auto"/>
                <w:sz w:val="21"/>
                <w:szCs w:val="21"/>
              </w:rPr>
              <w:t>上次不符合的整改情况</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上次审核未提出书面不符合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r>
              <w:rPr>
                <w:rFonts w:ascii="宋体" w:hAnsi="宋体"/>
                <w:b/>
                <w:szCs w:val="21"/>
              </w:rPr>
              <w:object>
                <v:shape id="_x0000_i1025" o:spt="75" type="#_x0000_t75" style="height:211.5pt;width:422pt;" o:ole="t" filled="f" o:preferrelative="t" stroked="f" coordsize="21600,21600">
                  <v:path/>
                  <v:fill on="f" focussize="0,0"/>
                  <v:stroke on="f"/>
                  <v:imagedata r:id="rId7" o:title=""/>
                  <o:lock v:ext="edit" aspectratio="f"/>
                  <w10:wrap type="none"/>
                  <w10:anchorlock/>
                </v:shape>
                <o:OLEObject Type="Embed" ProgID="Word.Document.8" ShapeID="_x0000_i1025" DrawAspect="Content" ObjectID="_1468075725" r:id="rId6">
                  <o:LockedField>false</o:LockedField>
                </o:OLEObject>
              </w:object>
            </w: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宋体" w:hAnsi="宋体"/>
                <w:szCs w:val="21"/>
              </w:rPr>
              <w:t>智联万维(北京)网络信息科技有限公司</w:t>
            </w:r>
            <w:r>
              <w:rPr>
                <w:rFonts w:hint="eastAsia"/>
                <w:color w:val="000000"/>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5"/>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40" w:lineRule="exact"/>
              <w:rPr>
                <w:b/>
                <w:color w:val="000000" w:themeColor="text1"/>
                <w:sz w:val="22"/>
                <w:szCs w:val="22"/>
              </w:rPr>
            </w:pPr>
          </w:p>
          <w:p>
            <w:pPr>
              <w:spacing w:line="240" w:lineRule="exact"/>
              <w:ind w:firstLine="480" w:firstLineChars="200"/>
              <w:rPr>
                <w:rFonts w:hint="eastAsia"/>
              </w:rPr>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lang w:val="en-US" w:eastAsia="zh-CN"/>
              </w:rPr>
              <w:t>本次现场审核基本达到审核要求，</w:t>
            </w:r>
            <w:r>
              <w:rPr>
                <w:rFonts w:hint="eastAsia"/>
              </w:rPr>
              <w:t>同意</w:t>
            </w:r>
            <w:r>
              <w:rPr>
                <w:rFonts w:hint="eastAsia"/>
                <w:lang w:val="en-US" w:eastAsia="zh-CN"/>
              </w:rPr>
              <w:t>保持</w:t>
            </w:r>
            <w:r>
              <w:rPr>
                <w:rFonts w:hint="eastAsia"/>
              </w:rPr>
              <w:t>认证注册。</w:t>
            </w: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bookmarkStart w:id="23" w:name="_GoBack"/>
      <w:bookmarkEnd w:id="23"/>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drawing>
          <wp:anchor distT="0" distB="0" distL="114300" distR="114300" simplePos="0" relativeHeight="251664384" behindDoc="1" locked="0" layoutInCell="1" allowOverlap="1">
            <wp:simplePos x="0" y="0"/>
            <wp:positionH relativeFrom="column">
              <wp:posOffset>1671955</wp:posOffset>
            </wp:positionH>
            <wp:positionV relativeFrom="paragraph">
              <wp:posOffset>-205740</wp:posOffset>
            </wp:positionV>
            <wp:extent cx="847725" cy="368300"/>
            <wp:effectExtent l="0" t="0" r="317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847725" cy="368300"/>
                    </a:xfrm>
                    <a:prstGeom prst="rect">
                      <a:avLst/>
                    </a:prstGeom>
                    <a:noFill/>
                    <a:ln>
                      <a:noFill/>
                    </a:ln>
                  </pic:spPr>
                </pic:pic>
              </a:graphicData>
            </a:graphic>
          </wp:anchor>
        </w:drawing>
      </w:r>
    </w:p>
    <w:p>
      <w:pPr>
        <w:snapToGrid w:val="0"/>
        <w:spacing w:before="163" w:beforeLines="50" w:line="320" w:lineRule="exact"/>
        <w:ind w:firstLine="600" w:firstLineChars="250"/>
        <w:rPr>
          <w:rFonts w:hint="default" w:eastAsia="宋体"/>
          <w:b/>
          <w:sz w:val="21"/>
          <w:lang w:val="en-US" w:eastAsia="zh-CN"/>
        </w:rPr>
      </w:pPr>
      <w:r>
        <w:drawing>
          <wp:anchor distT="0" distB="0" distL="114300" distR="114300" simplePos="0" relativeHeight="251663360" behindDoc="1" locked="0" layoutInCell="1" allowOverlap="1">
            <wp:simplePos x="0" y="0"/>
            <wp:positionH relativeFrom="column">
              <wp:posOffset>1678305</wp:posOffset>
            </wp:positionH>
            <wp:positionV relativeFrom="paragraph">
              <wp:posOffset>62865</wp:posOffset>
            </wp:positionV>
            <wp:extent cx="631190" cy="424815"/>
            <wp:effectExtent l="0" t="0" r="3810" b="698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631190" cy="424815"/>
                    </a:xfrm>
                    <a:prstGeom prst="rect">
                      <a:avLst/>
                    </a:prstGeom>
                    <a:noFill/>
                    <a:ln>
                      <a:noFill/>
                    </a:ln>
                  </pic:spPr>
                </pic:pic>
              </a:graphicData>
            </a:graphic>
          </wp:anchor>
        </w:drawing>
      </w:r>
      <w:r>
        <w:rPr>
          <w:rFonts w:hint="eastAsia"/>
          <w:b/>
          <w:sz w:val="21"/>
        </w:rPr>
        <w:t>审核组组员（签名）：</w:t>
      </w:r>
      <w:r>
        <w:rPr>
          <w:rFonts w:hint="eastAsia"/>
          <w:b/>
          <w:sz w:val="21"/>
          <w:lang w:val="en-US" w:eastAsia="zh-CN"/>
        </w:rPr>
        <w:t xml:space="preserve">              </w:t>
      </w:r>
      <w:r>
        <w:drawing>
          <wp:inline distT="0" distB="0" distL="114300" distR="114300">
            <wp:extent cx="1047750" cy="374650"/>
            <wp:effectExtent l="0" t="0" r="6350" b="635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0"/>
                    <a:stretch>
                      <a:fillRect/>
                    </a:stretch>
                  </pic:blipFill>
                  <pic:spPr>
                    <a:xfrm>
                      <a:off x="0" y="0"/>
                      <a:ext cx="1047750" cy="374650"/>
                    </a:xfrm>
                    <a:prstGeom prst="rect">
                      <a:avLst/>
                    </a:prstGeom>
                    <a:noFill/>
                    <a:ln>
                      <a:noFill/>
                    </a:ln>
                  </pic:spPr>
                </pic:pic>
              </a:graphicData>
            </a:graphic>
          </wp:inline>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2021.8.3</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rFonts w:hint="default" w:eastAsia="宋体"/>
          <w:b/>
          <w:sz w:val="21"/>
          <w:szCs w:val="21"/>
          <w:u w:val="single"/>
          <w:lang w:val="en-US" w:eastAsia="zh-CN"/>
        </w:rPr>
      </w:pPr>
      <w:r>
        <w:drawing>
          <wp:anchor distT="0" distB="0" distL="114300" distR="114300" simplePos="0" relativeHeight="251662336" behindDoc="1" locked="0" layoutInCell="1" allowOverlap="1">
            <wp:simplePos x="0" y="0"/>
            <wp:positionH relativeFrom="column">
              <wp:posOffset>1075055</wp:posOffset>
            </wp:positionH>
            <wp:positionV relativeFrom="paragraph">
              <wp:posOffset>3810</wp:posOffset>
            </wp:positionV>
            <wp:extent cx="847725" cy="368300"/>
            <wp:effectExtent l="0" t="0" r="3175" b="0"/>
            <wp:wrapNone/>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8"/>
                    <a:stretch>
                      <a:fillRect/>
                    </a:stretch>
                  </pic:blipFill>
                  <pic:spPr>
                    <a:xfrm>
                      <a:off x="0" y="0"/>
                      <a:ext cx="847725" cy="368300"/>
                    </a:xfrm>
                    <a:prstGeom prst="rect">
                      <a:avLst/>
                    </a:prstGeom>
                    <a:noFill/>
                    <a:ln>
                      <a:noFill/>
                    </a:ln>
                  </pic:spPr>
                </pic:pic>
              </a:graphicData>
            </a:graphic>
          </wp:anchor>
        </w:drawing>
      </w:r>
      <w:r>
        <w:rPr>
          <w:rFonts w:hint="eastAsia"/>
          <w:b/>
          <w:sz w:val="21"/>
          <w:szCs w:val="21"/>
        </w:rPr>
        <w:t>组长签字：</w:t>
      </w:r>
      <w:r>
        <w:rPr>
          <w:rFonts w:hint="eastAsia"/>
          <w:b/>
          <w:sz w:val="21"/>
          <w:szCs w:val="21"/>
          <w:lang w:val="en-US" w:eastAsia="zh-CN"/>
        </w:rPr>
        <w:t xml:space="preserve">                2021.8.3</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11083"/>
    <w:multiLevelType w:val="singleLevel"/>
    <w:tmpl w:val="B2F11083"/>
    <w:lvl w:ilvl="0" w:tentative="0">
      <w:start w:val="2"/>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0A3B9621"/>
    <w:multiLevelType w:val="singleLevel"/>
    <w:tmpl w:val="0A3B9621"/>
    <w:lvl w:ilvl="0" w:tentative="0">
      <w:start w:val="3"/>
      <w:numFmt w:val="decimal"/>
      <w:lvlText w:val="%1."/>
      <w:lvlJc w:val="left"/>
      <w:pPr>
        <w:tabs>
          <w:tab w:val="left" w:pos="312"/>
        </w:tabs>
      </w:p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CC324B"/>
    <w:rsid w:val="141134B5"/>
    <w:rsid w:val="149A49A3"/>
    <w:rsid w:val="176A1F76"/>
    <w:rsid w:val="250A2FC2"/>
    <w:rsid w:val="27E20FD8"/>
    <w:rsid w:val="2B5845D2"/>
    <w:rsid w:val="3F5361FE"/>
    <w:rsid w:val="5AEB1944"/>
    <w:rsid w:val="618F3C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
    <w:name w:val="Balloon Text"/>
    <w:basedOn w:val="1"/>
    <w:link w:val="8"/>
    <w:semiHidden/>
    <w:qFormat/>
    <w:uiPriority w:val="99"/>
    <w:rPr>
      <w:sz w:val="18"/>
      <w:szCs w:val="18"/>
    </w:rPr>
  </w:style>
  <w:style w:type="paragraph" w:styleId="4">
    <w:name w:val="footer"/>
    <w:basedOn w:val="1"/>
    <w:link w:val="9"/>
    <w:semiHidden/>
    <w:qFormat/>
    <w:uiPriority w:val="99"/>
    <w:pPr>
      <w:tabs>
        <w:tab w:val="center" w:pos="4153"/>
        <w:tab w:val="right" w:pos="8306"/>
      </w:tabs>
      <w:snapToGrid w:val="0"/>
      <w:jc w:val="left"/>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3"/>
    <w:semiHidden/>
    <w:qFormat/>
    <w:locked/>
    <w:uiPriority w:val="99"/>
    <w:rPr>
      <w:rFonts w:ascii="Times New Roman" w:hAnsi="Times New Roman" w:eastAsia="宋体" w:cs="Times New Roman"/>
      <w:sz w:val="18"/>
      <w:szCs w:val="18"/>
    </w:rPr>
  </w:style>
  <w:style w:type="character" w:customStyle="1" w:styleId="9">
    <w:name w:val="页脚 Char"/>
    <w:link w:val="4"/>
    <w:semiHidden/>
    <w:qFormat/>
    <w:locked/>
    <w:uiPriority w:val="99"/>
    <w:rPr>
      <w:rFonts w:ascii="Times New Roman" w:hAnsi="Times New Roman" w:eastAsia="宋体" w:cs="Times New Roman"/>
      <w:sz w:val="18"/>
      <w:szCs w:val="18"/>
    </w:rPr>
  </w:style>
  <w:style w:type="character" w:customStyle="1" w:styleId="10">
    <w:name w:val="页眉 Char"/>
    <w:link w:val="2"/>
    <w:qFormat/>
    <w:locked/>
    <w:uiPriority w:val="0"/>
    <w:rPr>
      <w:sz w:val="18"/>
    </w:rPr>
  </w:style>
  <w:style w:type="character" w:customStyle="1" w:styleId="11">
    <w:name w:val="页眉 Char1"/>
    <w:semiHidden/>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表格文字"/>
    <w:basedOn w:val="1"/>
    <w:qFormat/>
    <w:uiPriority w:val="0"/>
    <w:pPr>
      <w:spacing w:before="25" w:after="25"/>
    </w:pPr>
    <w:rPr>
      <w:bCs/>
      <w:spacing w:val="10"/>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2021-08-04T09:55:57Z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6C59C4AAED5D4937A98EBBA3AF5D34DB</vt:lpwstr>
  </property>
</Properties>
</file>