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778"/>
        <w:gridCol w:w="562"/>
        <w:gridCol w:w="708"/>
        <w:gridCol w:w="1000"/>
        <w:gridCol w:w="330"/>
        <w:gridCol w:w="1312"/>
        <w:gridCol w:w="1328"/>
        <w:gridCol w:w="647"/>
        <w:gridCol w:w="1494"/>
        <w:gridCol w:w="16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68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912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ascii="宋体" w:hAnsi="宋体"/>
                <w:szCs w:val="21"/>
              </w:rPr>
              <w:t>智联万维科技有限公司</w:t>
            </w:r>
            <w:bookmarkEnd w:id="4"/>
            <w:bookmarkStart w:id="6" w:name="_GoBack"/>
            <w:bookmarkEnd w:id="6"/>
          </w:p>
        </w:tc>
        <w:tc>
          <w:tcPr>
            <w:tcW w:w="132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74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Q：19.05.01;33.02.01;33.02.04;34.05.00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E：19.05.01;33.02.01;33.02.04;34.05.00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O：19.05.01;33.02.01;33.02.04;34.05.00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68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617" w:type="dxa"/>
            <w:gridSpan w:val="4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Q：19.05.01;33.02.01;33.02.04;34.05.00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E：19.05.01;33.02.01;33.02.04;34.05.00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O：19.05.01;33.02.01;33.02.04;34.05.00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李雅静</w:t>
            </w:r>
          </w:p>
        </w:tc>
        <w:tc>
          <w:tcPr>
            <w:tcW w:w="13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朱晓丽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 xml:space="preserve">       /</w:t>
            </w:r>
          </w:p>
        </w:tc>
        <w:tc>
          <w:tcPr>
            <w:tcW w:w="13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6390"/>
              </w:tabs>
              <w:spacing w:line="360" w:lineRule="auto"/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软件设计开发：</w:t>
            </w:r>
          </w:p>
          <w:p>
            <w:pPr>
              <w:tabs>
                <w:tab w:val="left" w:pos="6390"/>
              </w:tabs>
              <w:spacing w:line="360" w:lineRule="auto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顾客沟通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—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合同评审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—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签订合同--立项--需求分析--概要设计--详细设计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—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客户确认--测试--配置标识--部署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—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交付使用</w:t>
            </w:r>
          </w:p>
          <w:p>
            <w:pPr>
              <w:tabs>
                <w:tab w:val="left" w:pos="6390"/>
              </w:tabs>
              <w:spacing w:line="360" w:lineRule="auto"/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计算机系统集成实现过程流程：</w:t>
            </w:r>
          </w:p>
          <w:p>
            <w:pPr>
              <w:tabs>
                <w:tab w:val="left" w:pos="6390"/>
              </w:tabs>
              <w:spacing w:line="360" w:lineRule="auto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合同评审—签订合同--立项—方案策划—制定方案—实施—测试—顾客确定--交付使用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  <w:t>公司编制有《设计和开发控制程序》，对项目实现、过程的确认、项目验收交付和适用的验收交付后的活动，标识和可追溯性、客户财产的控制。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提供《环境因素识别评价表》对生产和办公活动生命周期全过程分别进行排查，考虑了大气污染、噪声污染、土壤污染、水污染、废弃物污染、能源和资源消耗、火灾等方面；从过去、现在、将来三种时态；正常、异常和紧急三种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生产过程中的环境因素，除了本身在生产过程中的环境因素外，公司也识别了能够施加影响的供方和客户的环境因素。另外，在采购产品的运输、使用、寿命结束后处理和最终处置相关的潜在重大环境影响。本部门识别的各区域环境因素有：废气粉尘、废水排放、噪声排放、固体废弃物排放、潜在火灾、水电能源消耗等。重要环境因素经按影响程度识别有：固废排放、火灾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编制了《危险源辨识和风险评价程序》，采用危险源级别判定标准，规定不可接受风险判定。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提供《危险源辨识和风险评价表》对设计开发各过程和办公活动分别进行辨识，考虑了触电、职业病伤害、意外伤害、火灾等方面；从过去、现在、将来三种时态；正常、异常和紧急三种状态识别危险源。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本部门识别的各区域危险源有：触电、意外伤害、火灾等。不可接受风险识别有：火灾、触电、意外伤害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信息技术  软件生存周期过程一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GB/Z 18493-2001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信息技术 软件生存周期过程二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8566-2007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计算机软件文档编制规范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8567-2006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计算机软件需求规格说明规范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GB/T 9385-2008 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计算机软件测试文档编制规范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9386-2008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软件工程术语标准 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11457-2006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信息技术  软件生存周期过程 四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GB/Z 18493-2001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信息技术 软件生存周期过程  五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8566-2007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计算机软件文档编制规范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8567-2006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计算机软件需求规格说明规范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GB/T 9385-2008 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计算机软件测试文档编制规范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9386-2008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3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2021.8.3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2021.8.3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704614"/>
    <w:rsid w:val="306D3F39"/>
    <w:rsid w:val="3A6135B0"/>
    <w:rsid w:val="3C7441B5"/>
    <w:rsid w:val="40C65B36"/>
    <w:rsid w:val="59FC0A5B"/>
    <w:rsid w:val="6D5A18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2021-08-03T06:30:40Z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1E69756D27644BA28E868E431E777A5B</vt:lpwstr>
  </property>
</Properties>
</file>