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4" w:name="_GoBack"/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-1012825</wp:posOffset>
            </wp:positionV>
            <wp:extent cx="7178675" cy="10131425"/>
            <wp:effectExtent l="0" t="0" r="9525" b="3175"/>
            <wp:wrapNone/>
            <wp:docPr id="1" name="图片 1" descr="扫描全能王 2021-08-29 18.1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29 18.14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8675" cy="1013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宝鸡市鑫钻石油机械有限公司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18.05.02;18.08.00;39.03.02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刘国斌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生产流程图：采购→检验→下料→机加工→铆焊→组装→喷涂（外包）→检验→交付；</w:t>
            </w:r>
            <w:r>
              <w:rPr>
                <w:sz w:val="21"/>
                <w:szCs w:val="21"/>
              </w:rPr>
              <w:t xml:space="preserve">  </w:t>
            </w:r>
          </w:p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修理技术服务流程图：合同签订→修理方案确定→修理技术服务→客户验收交付；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　　　　　　　　　　　</w:t>
            </w:r>
          </w:p>
          <w:p>
            <w:pPr>
              <w:spacing w:line="48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油泥、泥浆废弃物处理过程：收集→配药→搅拌→压滤→液固分别转运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：焊接、组装、压滤，</w:t>
            </w: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压力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时间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GB/T17744-2015石油天然气工业钻井和修井设备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GB/T19190-2013石油天然气工业钻井和采油提升设备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SY/T5053.2-2007钻井井口控制设备及分流设备控制系统规范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SY/T5532-2016石油钻机绞车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JB/T4238-2005调速型液力偶合器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Q/SY XN0276-2015钻井废弃物无害化处理技术规范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GB 8978-1996 《污水综合排放标准》、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GB18599-2001 《一般工业固体废物贮存、处置场污染控制标准》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检验外观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</w:rPr>
              <w:t>、力学性能。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both"/>
        <w:rPr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  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667674"/>
    <w:rsid w:val="326351C3"/>
    <w:rsid w:val="4B906CC4"/>
    <w:rsid w:val="548F7961"/>
    <w:rsid w:val="62336A3C"/>
    <w:rsid w:val="666A3B6D"/>
    <w:rsid w:val="76C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2021-08-29T11:33:54Z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64B487293E384E1696279E8023B62947</vt:lpwstr>
  </property>
</Properties>
</file>