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u w:val="single"/>
        </w:rPr>
        <w:t>四川乐诚新材料有限公司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2376"/>
        <w:gridCol w:w="316"/>
        <w:gridCol w:w="850"/>
        <w:gridCol w:w="61"/>
        <w:gridCol w:w="1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2376" w:type="dxa"/>
            <w:vAlign w:val="center"/>
          </w:tcPr>
          <w:p>
            <w:pPr>
              <w:jc w:val="center"/>
              <w:rPr>
                <w:b/>
                <w:sz w:val="21"/>
                <w:szCs w:val="21"/>
              </w:rPr>
            </w:pPr>
            <w:r>
              <w:rPr>
                <w:rFonts w:hint="eastAsia"/>
                <w:b/>
                <w:sz w:val="21"/>
                <w:szCs w:val="21"/>
              </w:rPr>
              <w:t>审核员注册号</w:t>
            </w:r>
          </w:p>
        </w:tc>
        <w:tc>
          <w:tcPr>
            <w:tcW w:w="1227" w:type="dxa"/>
            <w:gridSpan w:val="3"/>
            <w:vAlign w:val="center"/>
          </w:tcPr>
          <w:p>
            <w:pPr>
              <w:jc w:val="center"/>
              <w:rPr>
                <w:b/>
                <w:sz w:val="21"/>
                <w:szCs w:val="21"/>
              </w:rPr>
            </w:pPr>
            <w:r>
              <w:rPr>
                <w:rFonts w:hint="eastAsia"/>
                <w:b/>
                <w:sz w:val="21"/>
                <w:szCs w:val="21"/>
              </w:rPr>
              <w:t>专业代码</w:t>
            </w:r>
          </w:p>
        </w:tc>
        <w:tc>
          <w:tcPr>
            <w:tcW w:w="1553"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2376" w:type="dxa"/>
            <w:vAlign w:val="center"/>
          </w:tcPr>
          <w:p>
            <w:pPr>
              <w:jc w:val="center"/>
              <w:rPr>
                <w:b/>
                <w:sz w:val="21"/>
                <w:szCs w:val="21"/>
              </w:rPr>
            </w:pPr>
            <w:r>
              <w:rPr>
                <w:b/>
                <w:sz w:val="21"/>
                <w:szCs w:val="21"/>
              </w:rPr>
              <w:t>2019-N1EMS-1242345</w:t>
            </w:r>
          </w:p>
        </w:tc>
        <w:tc>
          <w:tcPr>
            <w:tcW w:w="1227" w:type="dxa"/>
            <w:gridSpan w:val="3"/>
            <w:vAlign w:val="center"/>
          </w:tcPr>
          <w:p>
            <w:pPr>
              <w:jc w:val="center"/>
              <w:rPr>
                <w:b/>
                <w:sz w:val="21"/>
                <w:szCs w:val="21"/>
              </w:rPr>
            </w:pPr>
          </w:p>
        </w:tc>
        <w:tc>
          <w:tcPr>
            <w:tcW w:w="1553" w:type="dxa"/>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赵勋平</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专家</w:t>
            </w:r>
          </w:p>
          <w:p>
            <w:pPr>
              <w:jc w:val="center"/>
              <w:rPr>
                <w:b/>
                <w:sz w:val="21"/>
                <w:szCs w:val="21"/>
              </w:rPr>
            </w:pPr>
          </w:p>
        </w:tc>
        <w:tc>
          <w:tcPr>
            <w:tcW w:w="2376" w:type="dxa"/>
            <w:vAlign w:val="center"/>
          </w:tcPr>
          <w:p>
            <w:pPr>
              <w:jc w:val="center"/>
              <w:rPr>
                <w:b/>
                <w:sz w:val="21"/>
                <w:szCs w:val="21"/>
              </w:rPr>
            </w:pPr>
            <w:r>
              <w:rPr>
                <w:b/>
                <w:sz w:val="21"/>
                <w:szCs w:val="21"/>
              </w:rPr>
              <w:t>ISC-JSZJ-075</w:t>
            </w:r>
          </w:p>
          <w:p>
            <w:pPr>
              <w:jc w:val="center"/>
              <w:rPr>
                <w:b/>
                <w:sz w:val="21"/>
                <w:szCs w:val="21"/>
              </w:rPr>
            </w:pPr>
            <w:r>
              <w:rPr>
                <w:b/>
                <w:sz w:val="21"/>
                <w:szCs w:val="21"/>
              </w:rPr>
              <w:t>四川顶立胶业有限公司</w:t>
            </w:r>
          </w:p>
        </w:tc>
        <w:tc>
          <w:tcPr>
            <w:tcW w:w="1227" w:type="dxa"/>
            <w:gridSpan w:val="3"/>
            <w:vAlign w:val="center"/>
          </w:tcPr>
          <w:p>
            <w:pPr>
              <w:jc w:val="center"/>
              <w:rPr>
                <w:b/>
                <w:sz w:val="21"/>
                <w:szCs w:val="21"/>
              </w:rPr>
            </w:pPr>
            <w:r>
              <w:rPr>
                <w:b/>
                <w:sz w:val="21"/>
                <w:szCs w:val="21"/>
              </w:rPr>
              <w:t>12.03.00</w:t>
            </w:r>
          </w:p>
        </w:tc>
        <w:tc>
          <w:tcPr>
            <w:tcW w:w="1553" w:type="dxa"/>
            <w:vAlign w:val="center"/>
          </w:tcPr>
          <w:p>
            <w:pPr>
              <w:jc w:val="center"/>
              <w:rPr>
                <w:b/>
                <w:sz w:val="21"/>
                <w:szCs w:val="21"/>
              </w:rPr>
            </w:pPr>
            <w:r>
              <w:rPr>
                <w:b/>
                <w:sz w:val="21"/>
                <w:szCs w:val="21"/>
              </w:rPr>
              <w:t>ISC-JSZJ-075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2376" w:type="dxa"/>
          </w:tcPr>
          <w:p>
            <w:pPr>
              <w:rPr>
                <w:b/>
                <w:sz w:val="21"/>
                <w:szCs w:val="21"/>
              </w:rPr>
            </w:pPr>
          </w:p>
        </w:tc>
        <w:tc>
          <w:tcPr>
            <w:tcW w:w="1227" w:type="dxa"/>
            <w:gridSpan w:val="3"/>
          </w:tcPr>
          <w:p>
            <w:pPr>
              <w:rPr>
                <w:b/>
                <w:sz w:val="21"/>
                <w:szCs w:val="21"/>
              </w:rPr>
            </w:pPr>
          </w:p>
        </w:tc>
        <w:tc>
          <w:tcPr>
            <w:tcW w:w="1553"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2376" w:type="dxa"/>
          </w:tcPr>
          <w:p>
            <w:pPr>
              <w:rPr>
                <w:b/>
                <w:sz w:val="21"/>
                <w:szCs w:val="21"/>
              </w:rPr>
            </w:pPr>
          </w:p>
        </w:tc>
        <w:tc>
          <w:tcPr>
            <w:tcW w:w="1227" w:type="dxa"/>
            <w:gridSpan w:val="3"/>
          </w:tcPr>
          <w:p>
            <w:pPr>
              <w:rPr>
                <w:b/>
                <w:sz w:val="21"/>
                <w:szCs w:val="21"/>
              </w:rPr>
            </w:pPr>
          </w:p>
        </w:tc>
        <w:tc>
          <w:tcPr>
            <w:tcW w:w="1553"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2376" w:type="dxa"/>
          </w:tcPr>
          <w:p>
            <w:pPr>
              <w:rPr>
                <w:b/>
                <w:sz w:val="21"/>
                <w:szCs w:val="21"/>
              </w:rPr>
            </w:pPr>
          </w:p>
        </w:tc>
        <w:tc>
          <w:tcPr>
            <w:tcW w:w="1227" w:type="dxa"/>
            <w:gridSpan w:val="3"/>
          </w:tcPr>
          <w:p>
            <w:pPr>
              <w:rPr>
                <w:b/>
                <w:sz w:val="21"/>
                <w:szCs w:val="21"/>
              </w:rPr>
            </w:pPr>
          </w:p>
        </w:tc>
        <w:tc>
          <w:tcPr>
            <w:tcW w:w="1553"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auto"/>
                <w:sz w:val="21"/>
              </w:rPr>
            </w:pPr>
            <w:bookmarkStart w:id="11" w:name="组织名称Add"/>
            <w:r>
              <w:rPr>
                <w:rFonts w:ascii="宋体"/>
                <w:b/>
                <w:color w:val="auto"/>
                <w:sz w:val="21"/>
              </w:rPr>
              <w:t>四川乐诚新材料有限公司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bookmarkStart w:id="12" w:name="体系人数"/>
            <w:r>
              <w:rPr>
                <w:color w:val="000000"/>
                <w:szCs w:val="21"/>
              </w:rPr>
              <w:t>45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color w:val="auto"/>
                <w:sz w:val="21"/>
              </w:rPr>
            </w:pPr>
            <w:bookmarkStart w:id="13" w:name="注册地址"/>
            <w:r>
              <w:rPr>
                <w:rFonts w:ascii="宋体"/>
                <w:b/>
                <w:color w:val="auto"/>
                <w:sz w:val="21"/>
              </w:rPr>
              <w:t>成都市青白江区工业集中发展区向阳路666号</w:t>
            </w:r>
            <w:bookmarkEnd w:id="13"/>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4" w:name="注册邮编"/>
            <w:r>
              <w:rPr>
                <w:rFonts w:ascii="宋体"/>
                <w:b/>
                <w:sz w:val="21"/>
              </w:rPr>
              <w:t>610300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5" w:name="生产地址"/>
            <w:r>
              <w:rPr>
                <w:rFonts w:ascii="宋体"/>
                <w:b/>
                <w:sz w:val="21"/>
              </w:rPr>
              <w:t>成都市青白江区工业集中发展区向阳路666号</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办公邮编"/>
            <w:r>
              <w:rPr>
                <w:rFonts w:ascii="宋体"/>
                <w:b/>
                <w:sz w:val="21"/>
              </w:rPr>
              <w:t>610300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7" w:name="生产地址Add"/>
            <w:r>
              <w:rPr>
                <w:rFonts w:ascii="宋体"/>
                <w:b/>
                <w:sz w:val="21"/>
              </w:rPr>
              <w:t>成都市青白江区工业集中发展区向阳路666号</w:t>
            </w:r>
            <w:bookmarkEnd w:id="17"/>
          </w:p>
        </w:tc>
        <w:tc>
          <w:tcPr>
            <w:tcW w:w="1672" w:type="dxa"/>
            <w:vMerge w:val="continue"/>
            <w:vAlign w:val="center"/>
          </w:tcPr>
          <w:p>
            <w:pPr>
              <w:jc w:val="center"/>
              <w:rPr>
                <w:rFonts w:ascii="宋体"/>
                <w:b/>
                <w:sz w:val="21"/>
              </w:rPr>
            </w:pPr>
          </w:p>
        </w:tc>
        <w:tc>
          <w:tcPr>
            <w:tcW w:w="1500" w:type="dxa"/>
          </w:tcPr>
          <w:p>
            <w:pPr>
              <w:rPr>
                <w:rFonts w:ascii="宋体"/>
                <w:b/>
                <w:sz w:val="21"/>
              </w:rPr>
            </w:pPr>
            <w:bookmarkStart w:id="18" w:name="生产邮编"/>
            <w:r>
              <w:rPr>
                <w:rFonts w:ascii="宋体"/>
                <w:b/>
                <w:sz w:val="21"/>
              </w:rPr>
              <w:t>610300</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9" w:name="联系人"/>
            <w:r>
              <w:rPr>
                <w:rFonts w:ascii="宋体"/>
                <w:b/>
                <w:sz w:val="21"/>
              </w:rPr>
              <w:t>戢焕俊</w:t>
            </w:r>
            <w:bookmarkEnd w:id="19"/>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20" w:name="联系人电话Add"/>
            <w:r>
              <w:rPr>
                <w:rFonts w:ascii="宋体"/>
                <w:b/>
                <w:sz w:val="21"/>
              </w:rPr>
              <w:t>13438483236</w:t>
            </w:r>
            <w:bookmarkEnd w:id="20"/>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1" w:name="联系人传真"/>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2" w:name="法人"/>
            <w:r>
              <w:rPr>
                <w:rFonts w:ascii="宋体" w:hAnsi="宋体"/>
                <w:b/>
                <w:sz w:val="21"/>
                <w:szCs w:val="21"/>
              </w:rPr>
              <w:t>黄富</w:t>
            </w:r>
            <w:bookmarkEnd w:id="22"/>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黄富</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hint="default" w:ascii="宋体" w:eastAsia="宋体"/>
                <w:b/>
                <w:sz w:val="21"/>
                <w:lang w:val="en-US" w:eastAsia="zh-CN"/>
              </w:rPr>
            </w:pPr>
            <w:r>
              <w:rPr>
                <w:rFonts w:hint="eastAsia" w:ascii="宋体"/>
                <w:b/>
                <w:sz w:val="21"/>
                <w:lang w:val="en-US" w:eastAsia="zh-CN"/>
              </w:rPr>
              <w:t>华冰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2021年07月30日 上午至2021年07月31日 上午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QJ勾选Add1"/>
            <w:r>
              <w:rPr>
                <w:rFonts w:hint="eastAsia" w:ascii="宋体" w:hAnsi="宋体"/>
                <w:b/>
                <w:sz w:val="21"/>
                <w:szCs w:val="21"/>
              </w:rPr>
              <w:t>□</w:t>
            </w:r>
            <w:bookmarkEnd w:id="25"/>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bookmarkStart w:id="27" w:name="审核范围"/>
            <w:r>
              <w:rPr>
                <w:rFonts w:hint="eastAsia" w:ascii="宋体" w:hAnsi="宋体" w:eastAsia="宋体" w:cs="Times New Roman"/>
                <w:b/>
                <w:sz w:val="21"/>
                <w:szCs w:val="21"/>
              </w:rPr>
              <w:t>水性涂料、胶粘剂涂料、干粉腻子的生产</w:t>
            </w:r>
            <w:bookmarkEnd w:id="27"/>
            <w:r>
              <w:rPr>
                <w:rFonts w:hint="eastAsia" w:ascii="宋体" w:hAnsi="宋体" w:eastAsia="宋体" w:cs="Times New Roman"/>
                <w:b/>
                <w:sz w:val="21"/>
                <w:szCs w:val="21"/>
              </w:rPr>
              <w:t>所涉及场所的相关环境管理活动</w:t>
            </w:r>
          </w:p>
          <w:p>
            <w:pPr>
              <w:spacing w:line="360" w:lineRule="exact"/>
              <w:rPr>
                <w:rFonts w:ascii="宋体" w:hAnsi="宋体"/>
                <w:b/>
                <w:sz w:val="21"/>
                <w:szCs w:val="21"/>
              </w:rPr>
            </w:pPr>
            <w:bookmarkStart w:id="28" w:name="S勾选Add2"/>
            <w:r>
              <w:rPr>
                <w:rFonts w:hint="eastAsia" w:ascii="宋体" w:hAnsi="宋体"/>
                <w:b/>
                <w:sz w:val="21"/>
                <w:szCs w:val="21"/>
              </w:rPr>
              <w:t>□</w:t>
            </w:r>
            <w:bookmarkEnd w:id="28"/>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9" w:name="专业代码"/>
            <w:r>
              <w:rPr>
                <w:rFonts w:ascii="宋体" w:hAnsi="宋体"/>
                <w:b/>
                <w:sz w:val="21"/>
                <w:szCs w:val="21"/>
              </w:rPr>
              <w:t>12.03.00</w:t>
            </w:r>
            <w:bookmarkEnd w:id="29"/>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2023.09.26</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2020.09.20</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2020年09月20日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pPr w:leftFromText="180" w:rightFromText="180" w:vertAnchor="text" w:horzAnchor="page" w:tblpX="992" w:tblpY="317"/>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2" w:firstLineChars="200"/>
              <w:rPr>
                <w:b/>
                <w:color w:val="000000" w:themeColor="text1"/>
                <w:sz w:val="20"/>
                <w:szCs w:val="20"/>
              </w:rPr>
            </w:pPr>
            <w:r>
              <w:rPr>
                <w:rFonts w:hint="eastAsia" w:ascii="宋体" w:hAnsi="宋体" w:eastAsia="宋体" w:cs="Times New Roman"/>
                <w:b/>
                <w:sz w:val="21"/>
                <w:szCs w:val="21"/>
              </w:rPr>
              <w:t>组织对内外部因素、相关方需求和期望进行了充分的识别，策划和实施有效。组织确定了体系的边界，基本适用。管理体系全条款适用。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2" w:firstLineChars="200"/>
              <w:rPr>
                <w:b/>
                <w:color w:val="000000" w:themeColor="text1"/>
                <w:sz w:val="20"/>
                <w:szCs w:val="20"/>
              </w:rPr>
            </w:pPr>
            <w:r>
              <w:rPr>
                <w:rFonts w:hint="eastAsia" w:ascii="宋体" w:hAnsi="宋体" w:eastAsia="宋体" w:cs="Times New Roman"/>
                <w:b/>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Cs w:val="21"/>
              </w:rPr>
              <w:t>□</w:t>
            </w:r>
            <w:r>
              <w:rPr>
                <w:rFonts w:hint="eastAsia" w:ascii="宋体" w:hAnsi="宋体"/>
                <w:b/>
                <w:color w:val="000000" w:themeColor="text1"/>
                <w:sz w:val="20"/>
                <w:szCs w:val="20"/>
              </w:rPr>
              <w:t>质量/■环境（组织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ind w:firstLine="422" w:firstLineChars="200"/>
              <w:rPr>
                <w:rFonts w:hint="eastAsia" w:ascii="宋体" w:hAnsi="宋体" w:eastAsia="宋体" w:cs="Times New Roman"/>
                <w:b/>
                <w:sz w:val="21"/>
                <w:szCs w:val="21"/>
              </w:rPr>
            </w:pPr>
            <w:r>
              <w:rPr>
                <w:rFonts w:hint="eastAsia" w:ascii="宋体" w:hAnsi="宋体" w:eastAsia="宋体" w:cs="Times New Roman"/>
                <w:b/>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spacing w:line="240" w:lineRule="exact"/>
              <w:ind w:firstLine="422" w:firstLineChars="200"/>
              <w:rPr>
                <w:rFonts w:hint="eastAsia" w:ascii="宋体" w:hAnsi="宋体" w:eastAsia="宋体" w:cs="Times New Roman"/>
                <w:b/>
                <w:sz w:val="21"/>
                <w:szCs w:val="21"/>
              </w:rPr>
            </w:pPr>
            <w:r>
              <w:rPr>
                <w:rFonts w:hint="eastAsia" w:ascii="宋体" w:hAnsi="宋体" w:eastAsia="宋体" w:cs="Times New Roman"/>
                <w:b/>
                <w:sz w:val="21"/>
                <w:szCs w:val="21"/>
              </w:rPr>
              <w:t xml:space="preserve">环境方针： </w:t>
            </w:r>
          </w:p>
          <w:p>
            <w:pPr>
              <w:spacing w:line="240" w:lineRule="exact"/>
              <w:ind w:firstLine="422" w:firstLineChars="200"/>
              <w:rPr>
                <w:b/>
                <w:color w:val="000000" w:themeColor="text1"/>
              </w:rPr>
            </w:pPr>
            <w:r>
              <w:rPr>
                <w:rFonts w:hint="eastAsia" w:ascii="宋体" w:hAnsi="宋体" w:eastAsia="宋体" w:cs="Times New Roman"/>
                <w:b/>
                <w:sz w:val="21"/>
                <w:szCs w:val="21"/>
              </w:rPr>
              <w:t>污染预防，全员环保，自觉遵守国家和地方有关环境保护方面的法律法规，并保障所需资源的投入。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40" w:firstLineChars="100"/>
              <w:rPr>
                <w:rFonts w:hint="default" w:ascii="宋体" w:hAnsi="宋体" w:eastAsia="宋体"/>
                <w:color w:val="000000" w:themeColor="text1"/>
                <w:lang w:val="en-US" w:eastAsia="zh-CN"/>
              </w:rPr>
            </w:pPr>
            <w:r>
              <w:rPr>
                <w:rFonts w:hint="eastAsia" w:ascii="宋体" w:hAnsi="宋体"/>
                <w:color w:val="000000" w:themeColor="text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hint="eastAsia" w:ascii="宋体" w:hAnsi="宋体"/>
                <w:b/>
                <w:color w:val="000000" w:themeColor="text1"/>
                <w:sz w:val="20"/>
                <w:szCs w:val="20"/>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1" o:spid="_x0000_s2051"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2" o:spid="_x0000_s2052"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6" w:firstLineChars="150"/>
              <w:rPr>
                <w:rFonts w:asciiTheme="minorEastAsia" w:hAnsiTheme="minorEastAsia" w:eastAsiaTheme="minorEastAsia"/>
                <w:b/>
                <w:color w:val="000000" w:themeColor="text1"/>
                <w:sz w:val="20"/>
                <w:szCs w:val="20"/>
              </w:rPr>
            </w:pPr>
            <w:r>
              <w:rPr>
                <w:rFonts w:hint="eastAsia" w:ascii="宋体" w:hAnsi="宋体" w:eastAsia="宋体" w:cs="Times New Roman"/>
                <w:b/>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7.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结合公司的■产品/服务■环境因素，■确定 □未确定法律法规要求的具体条款，</w:t>
            </w: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ind w:firstLine="422" w:firstLineChars="200"/>
              <w:rPr>
                <w:rFonts w:hint="eastAsia" w:ascii="宋体" w:hAnsi="宋体" w:eastAsia="宋体" w:cs="Times New Roman"/>
                <w:b/>
                <w:sz w:val="21"/>
                <w:szCs w:val="21"/>
              </w:rPr>
            </w:pPr>
            <w:r>
              <w:rPr>
                <w:rFonts w:hint="eastAsia" w:ascii="宋体" w:hAnsi="宋体" w:eastAsia="宋体" w:cs="Times New Roman"/>
                <w:b/>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240" w:lineRule="exact"/>
              <w:ind w:firstLine="422" w:firstLineChars="200"/>
              <w:rPr>
                <w:rFonts w:hint="eastAsia" w:ascii="宋体" w:hAnsi="宋体" w:eastAsia="宋体" w:cs="Times New Roman"/>
                <w:b/>
                <w:sz w:val="21"/>
                <w:szCs w:val="21"/>
              </w:rPr>
            </w:pPr>
            <w:r>
              <w:rPr>
                <w:rFonts w:hint="eastAsia" w:ascii="宋体" w:hAnsi="宋体" w:eastAsia="宋体" w:cs="Times New Roman"/>
                <w:b/>
                <w:sz w:val="21"/>
                <w:szCs w:val="21"/>
              </w:rPr>
              <w:t>环境目标：</w:t>
            </w:r>
          </w:p>
          <w:p>
            <w:pPr>
              <w:spacing w:line="240" w:lineRule="exact"/>
              <w:ind w:firstLine="422" w:firstLineChars="200"/>
              <w:rPr>
                <w:rFonts w:hint="eastAsia"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 xml:space="preserve">1、废气排放达标               </w:t>
            </w:r>
          </w:p>
          <w:p>
            <w:pPr>
              <w:spacing w:line="240" w:lineRule="exact"/>
              <w:ind w:firstLine="422" w:firstLineChars="200"/>
              <w:rPr>
                <w:rFonts w:hint="eastAsia"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 xml:space="preserve">2、废水合理排放                 </w:t>
            </w:r>
          </w:p>
          <w:p>
            <w:pPr>
              <w:spacing w:line="240" w:lineRule="exact"/>
              <w:ind w:firstLine="422" w:firstLineChars="200"/>
              <w:rPr>
                <w:rFonts w:hint="default"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 xml:space="preserve">3、无火灾事故发生                </w:t>
            </w:r>
          </w:p>
          <w:p>
            <w:pPr>
              <w:spacing w:line="240" w:lineRule="exact"/>
              <w:ind w:firstLine="422" w:firstLineChars="200"/>
              <w:rPr>
                <w:rFonts w:ascii="宋体" w:hAnsi="宋体"/>
                <w:b/>
                <w:color w:val="000000" w:themeColor="text1"/>
              </w:rPr>
            </w:pPr>
            <w:r>
              <w:rPr>
                <w:rFonts w:hint="eastAsia" w:ascii="宋体" w:hAnsi="宋体" w:eastAsia="宋体" w:cs="Times New Roman"/>
                <w:b/>
                <w:sz w:val="21"/>
                <w:szCs w:val="21"/>
                <w:lang w:val="en-US" w:eastAsia="zh-CN"/>
              </w:rPr>
              <w:t xml:space="preserve">4、固体废物（含危废）处理及时率100%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2" w:firstLineChars="200"/>
              <w:rPr>
                <w:rFonts w:ascii="宋体" w:hAnsi="宋体"/>
                <w:b/>
                <w:color w:val="000000" w:themeColor="text1"/>
                <w:sz w:val="20"/>
                <w:szCs w:val="20"/>
              </w:rPr>
            </w:pPr>
            <w:r>
              <w:rPr>
                <w:rFonts w:hint="eastAsia" w:ascii="宋体" w:hAnsi="宋体" w:eastAsia="宋体" w:cs="Times New Roman"/>
                <w:b/>
                <w:sz w:val="21"/>
                <w:szCs w:val="21"/>
              </w:rPr>
              <w:t>公司按照申请认证的标准要求，建立并形成了文件化的环境和职业健康安全管理体系，体系文件对管理体系各过程进行了识别确定、明确了各要素间的相互关系及其管控要求。公司体系文件于</w:t>
            </w:r>
            <w:r>
              <w:rPr>
                <w:rFonts w:hint="eastAsia" w:ascii="宋体" w:hAnsi="宋体" w:eastAsia="宋体" w:cs="Times New Roman"/>
                <w:b/>
                <w:sz w:val="21"/>
                <w:szCs w:val="21"/>
                <w:lang w:val="en-US" w:eastAsia="zh-CN"/>
              </w:rPr>
              <w:t>2020</w:t>
            </w:r>
            <w:r>
              <w:rPr>
                <w:rFonts w:hint="eastAsia" w:ascii="宋体" w:hAnsi="宋体" w:eastAsia="宋体" w:cs="Times New Roman"/>
                <w:b/>
                <w:sz w:val="21"/>
                <w:szCs w:val="21"/>
              </w:rPr>
              <w:t xml:space="preserve"> 年</w:t>
            </w:r>
            <w:r>
              <w:rPr>
                <w:rFonts w:hint="eastAsia" w:ascii="宋体" w:hAnsi="宋体" w:eastAsia="宋体" w:cs="Times New Roman"/>
                <w:b/>
                <w:sz w:val="21"/>
                <w:szCs w:val="21"/>
                <w:lang w:val="en-US" w:eastAsia="zh-CN"/>
              </w:rPr>
              <w:t>3</w:t>
            </w:r>
            <w:r>
              <w:rPr>
                <w:rFonts w:hint="eastAsia" w:ascii="宋体" w:hAnsi="宋体" w:eastAsia="宋体" w:cs="Times New Roman"/>
                <w:b/>
                <w:sz w:val="21"/>
                <w:szCs w:val="21"/>
              </w:rPr>
              <w:t>月</w:t>
            </w:r>
            <w:r>
              <w:rPr>
                <w:rFonts w:hint="eastAsia" w:ascii="宋体" w:hAnsi="宋体" w:eastAsia="宋体" w:cs="Times New Roman"/>
                <w:b/>
                <w:sz w:val="21"/>
                <w:szCs w:val="21"/>
                <w:lang w:val="en-US" w:eastAsia="zh-CN"/>
              </w:rPr>
              <w:t>10</w:t>
            </w:r>
            <w:r>
              <w:rPr>
                <w:rFonts w:hint="eastAsia" w:ascii="宋体" w:hAnsi="宋体" w:eastAsia="宋体" w:cs="Times New Roman"/>
                <w:b/>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540"/>
              </w:tabs>
              <w:spacing w:line="240" w:lineRule="exact"/>
              <w:ind w:firstLine="422" w:firstLineChars="200"/>
              <w:rPr>
                <w:rFonts w:hint="eastAsia" w:ascii="宋体" w:hAnsi="宋体" w:eastAsia="宋体" w:cs="Times New Roman"/>
                <w:b/>
                <w:sz w:val="21"/>
                <w:szCs w:val="21"/>
              </w:rPr>
            </w:pPr>
            <w:r>
              <w:rPr>
                <w:rFonts w:hint="eastAsia" w:ascii="宋体" w:hAnsi="宋体" w:eastAsia="宋体" w:cs="Times New Roman"/>
                <w:b/>
                <w:sz w:val="21"/>
                <w:szCs w:val="21"/>
              </w:rPr>
              <w:t>组织按管理体系需求配置了充足的人员、设施、监视和测量设备等资源，并建立维持了水性涂料、胶粘剂涂料、干粉腻子的生产及相关服务运行环境，可以维持管理体系的正常运行。</w:t>
            </w:r>
          </w:p>
          <w:p>
            <w:pPr>
              <w:tabs>
                <w:tab w:val="left" w:pos="540"/>
              </w:tabs>
              <w:spacing w:line="240" w:lineRule="exact"/>
              <w:ind w:firstLine="422" w:firstLineChars="200"/>
              <w:rPr>
                <w:rFonts w:ascii="宋体" w:hAnsi="宋体"/>
                <w:b/>
                <w:color w:val="000000" w:themeColor="text1"/>
                <w:sz w:val="20"/>
                <w:szCs w:val="20"/>
              </w:rPr>
            </w:pPr>
            <w:r>
              <w:rPr>
                <w:rFonts w:hint="eastAsia" w:ascii="宋体" w:hAnsi="宋体" w:eastAsia="宋体" w:cs="Times New Roman"/>
                <w:b/>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val="0"/>
                <w:bCs/>
                <w:color w:val="000000" w:themeColor="text1"/>
                <w:sz w:val="20"/>
                <w:szCs w:val="20"/>
                <w:highlight w:val="none"/>
              </w:rPr>
            </w:pPr>
            <w:r>
              <w:rPr>
                <w:rFonts w:hint="eastAsia" w:ascii="宋体" w:hAnsi="宋体"/>
                <w:b w:val="0"/>
                <w:bCs/>
                <w:color w:val="000000" w:themeColor="text1"/>
                <w:sz w:val="20"/>
                <w:szCs w:val="20"/>
                <w:highlight w:val="none"/>
              </w:rPr>
              <w:t>设备设施（包括信息系统）、</w:t>
            </w:r>
          </w:p>
          <w:p>
            <w:pPr>
              <w:spacing w:line="240" w:lineRule="exact"/>
              <w:ind w:firstLine="422" w:firstLineChars="200"/>
              <w:rPr>
                <w:rFonts w:ascii="宋体" w:hAnsi="宋体"/>
                <w:b/>
                <w:color w:val="000000" w:themeColor="text1"/>
                <w:sz w:val="20"/>
                <w:szCs w:val="20"/>
                <w:highlight w:val="none"/>
              </w:rPr>
            </w:pPr>
            <w:r>
              <w:rPr>
                <w:rFonts w:hint="eastAsia" w:ascii="宋体" w:hAnsi="宋体" w:eastAsia="宋体" w:cs="Times New Roman"/>
                <w:b/>
                <w:sz w:val="21"/>
                <w:szCs w:val="21"/>
              </w:rPr>
              <w:t>厂房面积</w:t>
            </w:r>
            <w:r>
              <w:rPr>
                <w:rFonts w:hint="eastAsia" w:ascii="宋体" w:hAnsi="宋体" w:eastAsia="宋体" w:cs="Times New Roman"/>
                <w:b/>
                <w:sz w:val="21"/>
                <w:szCs w:val="21"/>
                <w:lang w:val="en-US" w:eastAsia="zh-CN"/>
              </w:rPr>
              <w:t>5000</w:t>
            </w:r>
            <w:r>
              <w:rPr>
                <w:rFonts w:hint="eastAsia" w:ascii="宋体" w:hAnsi="宋体" w:eastAsia="宋体" w:cs="Times New Roman"/>
                <w:b/>
                <w:sz w:val="21"/>
                <w:szCs w:val="21"/>
              </w:rPr>
              <w:t>平方米左右，库房</w:t>
            </w:r>
            <w:r>
              <w:rPr>
                <w:rFonts w:hint="eastAsia" w:ascii="宋体" w:hAnsi="宋体" w:eastAsia="宋体" w:cs="Times New Roman"/>
                <w:b/>
                <w:sz w:val="21"/>
                <w:szCs w:val="21"/>
                <w:lang w:eastAsia="zh-CN"/>
              </w:rPr>
              <w:t>与生产场所分区</w:t>
            </w:r>
            <w:r>
              <w:rPr>
                <w:rFonts w:hint="eastAsia" w:ascii="宋体" w:hAnsi="宋体" w:eastAsia="宋体" w:cs="Times New Roman"/>
                <w:b/>
                <w:sz w:val="21"/>
                <w:szCs w:val="21"/>
              </w:rPr>
              <w:t>，办公场所面积</w:t>
            </w:r>
            <w:r>
              <w:rPr>
                <w:rFonts w:hint="eastAsia" w:ascii="宋体" w:hAnsi="宋体" w:eastAsia="宋体" w:cs="Times New Roman"/>
                <w:b/>
                <w:sz w:val="21"/>
                <w:szCs w:val="21"/>
                <w:lang w:val="en-US" w:eastAsia="zh-CN"/>
              </w:rPr>
              <w:t>300</w:t>
            </w:r>
            <w:r>
              <w:rPr>
                <w:rFonts w:hint="eastAsia" w:ascii="宋体" w:hAnsi="宋体" w:eastAsia="宋体" w:cs="Times New Roman"/>
                <w:b/>
                <w:sz w:val="21"/>
                <w:szCs w:val="21"/>
              </w:rPr>
              <w:t>平方米左右.主要生产设备包括</w:t>
            </w:r>
            <w:r>
              <w:rPr>
                <w:rFonts w:hint="eastAsia" w:ascii="宋体" w:hAnsi="宋体" w:eastAsia="宋体" w:cs="Times New Roman"/>
                <w:b/>
                <w:sz w:val="21"/>
                <w:szCs w:val="21"/>
                <w:lang w:eastAsia="zh-CN"/>
              </w:rPr>
              <w:t>：</w:t>
            </w:r>
            <w:r>
              <w:rPr>
                <w:rFonts w:hint="eastAsia" w:ascii="宋体" w:hAnsi="宋体" w:eastAsia="宋体" w:cs="Times New Roman"/>
                <w:b/>
                <w:sz w:val="21"/>
                <w:szCs w:val="21"/>
                <w:lang w:val="en-US" w:eastAsia="zh-CN"/>
              </w:rPr>
              <w:t>脉冲布袋除尘器、叶轮包装机、码垛机器人、高效梨刀式混合机、震动筛机、粉料罐体、罐体搅拌机、高温反应釜、胶水罐、变频分散机、传福压滤机等</w:t>
            </w:r>
            <w:r>
              <w:rPr>
                <w:rFonts w:hint="eastAsia" w:ascii="宋体" w:hAnsi="宋体" w:eastAsia="宋体" w:cs="Times New Roman"/>
                <w:b/>
                <w:sz w:val="21"/>
                <w:szCs w:val="21"/>
                <w:lang w:eastAsia="zh-CN"/>
              </w:rPr>
              <w:t>，可以</w:t>
            </w:r>
            <w:r>
              <w:rPr>
                <w:rFonts w:hint="eastAsia" w:ascii="宋体" w:hAnsi="宋体" w:eastAsia="宋体" w:cs="Times New Roman"/>
                <w:b/>
                <w:sz w:val="21"/>
                <w:szCs w:val="21"/>
              </w:rPr>
              <w:t>满足生产需要。对设备按月方式进行点检维护保养，并实施。公司未建立信息管理系统用于生产和服务。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eastAsia="宋体" w:cs="Times New Roman"/>
                <w:b/>
                <w:sz w:val="21"/>
                <w:szCs w:val="21"/>
              </w:rPr>
              <w:t>办公和作业所场设备布置合理，通道畅通，照明设施齐全，均配备了消防设施等设施。办公室明亮，作业场所光线较充足。每月由行政部对工作环境进行定期检查。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eastAsia" w:ascii="宋体" w:hAnsi="宋体" w:eastAsia="宋体"/>
                <w:b/>
                <w:color w:val="000000" w:themeColor="text1"/>
                <w:sz w:val="20"/>
                <w:szCs w:val="20"/>
                <w:lang w:eastAsia="zh-CN"/>
              </w:rPr>
            </w:pPr>
            <w:r>
              <w:rPr>
                <w:rFonts w:hint="eastAsia" w:ascii="宋体" w:hAnsi="宋体" w:cs="宋体"/>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ind w:firstLine="422" w:firstLineChars="200"/>
              <w:rPr>
                <w:rFonts w:hint="eastAsia" w:ascii="宋体" w:hAnsi="宋体" w:eastAsia="宋体" w:cs="Times New Roman"/>
                <w:b/>
                <w:sz w:val="21"/>
                <w:szCs w:val="21"/>
              </w:rPr>
            </w:pPr>
            <w:r>
              <w:rPr>
                <w:rFonts w:hint="eastAsia" w:ascii="宋体" w:hAnsi="宋体" w:eastAsia="宋体" w:cs="Times New Roman"/>
                <w:b/>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ind w:firstLine="422" w:firstLineChars="200"/>
              <w:rPr>
                <w:rFonts w:ascii="宋体" w:hAnsi="宋体"/>
                <w:b/>
                <w:color w:val="000000" w:themeColor="text1"/>
                <w:sz w:val="20"/>
                <w:szCs w:val="20"/>
              </w:rPr>
            </w:pPr>
            <w:r>
              <w:rPr>
                <w:rFonts w:hint="eastAsia" w:ascii="宋体" w:hAnsi="宋体" w:eastAsia="宋体" w:cs="Times New Roman"/>
                <w:b/>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default" w:ascii="宋体" w:hAnsi="宋体" w:eastAsia="宋体"/>
                <w:sz w:val="20"/>
                <w:szCs w:val="20"/>
                <w:lang w:val="en-US" w:eastAsia="zh-CN"/>
              </w:rPr>
            </w:pPr>
            <w:r>
              <w:rPr>
                <w:rFonts w:hint="eastAsia" w:ascii="宋体" w:hAnsi="宋体" w:eastAsia="宋体" w:cs="Times New Roman"/>
                <w:b/>
                <w:sz w:val="21"/>
                <w:szCs w:val="21"/>
              </w:rPr>
              <w:t>消防栓、灭火器</w:t>
            </w:r>
            <w:r>
              <w:rPr>
                <w:rFonts w:hint="eastAsia" w:ascii="宋体" w:hAnsi="宋体" w:eastAsia="宋体" w:cs="Times New Roman"/>
                <w:b/>
                <w:sz w:val="21"/>
                <w:szCs w:val="21"/>
                <w:lang w:eastAsia="zh-CN"/>
              </w:rPr>
              <w:t>、</w:t>
            </w:r>
            <w:r>
              <w:rPr>
                <w:rFonts w:hint="eastAsia" w:ascii="宋体" w:hAnsi="宋体" w:eastAsia="宋体" w:cs="Times New Roman"/>
                <w:b/>
                <w:sz w:val="21"/>
                <w:szCs w:val="21"/>
                <w:lang w:val="en-US" w:eastAsia="zh-CN"/>
              </w:rPr>
              <w:t>除尘器、活性炭等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eastAsia="宋体" w:cs="Times New Roman"/>
                <w:b/>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hint="eastAsia" w:ascii="宋体" w:hAnsi="宋体" w:eastAsia="宋体" w:cs="Times New Roman"/>
                <w:b/>
                <w:sz w:val="21"/>
                <w:szCs w:val="21"/>
              </w:rPr>
            </w:pPr>
            <w:r>
              <w:rPr>
                <w:rFonts w:hint="eastAsia" w:ascii="楷体_GB2312" w:eastAsia="楷体_GB2312"/>
                <w:b/>
                <w:color w:val="000000" w:themeColor="text1"/>
                <w:sz w:val="20"/>
                <w:szCs w:val="20"/>
              </w:rPr>
              <w:t>内部沟通的情况：内部沟通方式：</w:t>
            </w:r>
            <w:r>
              <w:rPr>
                <w:rFonts w:hint="eastAsia" w:ascii="宋体" w:hAnsi="宋体" w:eastAsia="宋体" w:cs="Times New Roman"/>
                <w:b/>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rFonts w:hint="eastAsia" w:ascii="Times New Roman" w:hAnsi="Times New Roman" w:eastAsia="宋体" w:cs="Times New Roman"/>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Times New Roman" w:hAnsi="Times New Roman" w:eastAsia="宋体" w:cs="Times New Roman"/>
                <w:b/>
                <w:color w:val="000000" w:themeColor="text1"/>
                <w:sz w:val="20"/>
                <w:szCs w:val="20"/>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rFonts w:hint="eastAsia" w:eastAsia="宋体"/>
                <w:b/>
                <w:color w:val="000000" w:themeColor="text1"/>
                <w:sz w:val="20"/>
                <w:szCs w:val="20"/>
                <w:lang w:eastAsia="zh-CN"/>
              </w:rPr>
            </w:pPr>
            <w:r>
              <w:rPr>
                <w:rFonts w:hint="eastAsia" w:ascii="宋体" w:hAnsi="宋体" w:cs="宋体"/>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hint="eastAsia" w:ascii="宋体" w:hAnsi="宋体" w:cs="宋体"/>
                <w:color w:val="000000"/>
                <w:szCs w:val="21"/>
                <w:lang w:val="en-US" w:eastAsia="zh-CN"/>
              </w:rPr>
            </w:pPr>
            <w:r>
              <w:rPr>
                <w:rFonts w:hint="eastAsia" w:ascii="宋体" w:hAnsi="宋体" w:cs="宋体"/>
                <w:color w:val="000000"/>
                <w:szCs w:val="21"/>
                <w:lang w:val="en-US" w:eastAsia="zh-CN"/>
              </w:rPr>
              <w:t>/</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60" w:lineRule="auto"/>
              <w:ind w:firstLine="240" w:firstLineChars="100"/>
              <w:rPr>
                <w:rFonts w:ascii="宋体" w:hAnsi="宋体" w:cs="宋体"/>
                <w:szCs w:val="21"/>
              </w:rPr>
            </w:pPr>
            <w:r>
              <w:rPr>
                <w:rFonts w:hint="eastAsia" w:ascii="宋体" w:hAnsi="宋体" w:cs="宋体"/>
                <w:szCs w:val="21"/>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eastAsia="宋体" w:cs="Times New Roman"/>
                <w:b/>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ind w:firstLine="422" w:firstLineChars="200"/>
              <w:rPr>
                <w:rFonts w:hint="eastAsia" w:ascii="宋体" w:hAnsi="宋体" w:eastAsia="宋体" w:cs="Times New Roman"/>
                <w:b/>
                <w:sz w:val="21"/>
                <w:szCs w:val="21"/>
              </w:rPr>
            </w:pPr>
            <w:r>
              <w:rPr>
                <w:rFonts w:hint="eastAsia" w:ascii="宋体" w:hAnsi="宋体" w:eastAsia="宋体" w:cs="Times New Roman"/>
                <w:b/>
                <w:sz w:val="21"/>
                <w:szCs w:val="21"/>
              </w:rPr>
              <w:t>组织重要环境因素为</w:t>
            </w:r>
            <w:r>
              <w:rPr>
                <w:rFonts w:hint="eastAsia" w:ascii="宋体" w:hAnsi="宋体" w:eastAsia="宋体" w:cs="Times New Roman"/>
                <w:b/>
                <w:sz w:val="21"/>
                <w:szCs w:val="21"/>
                <w:lang w:val="en-US" w:eastAsia="zh-CN"/>
              </w:rPr>
              <w:t>潜在火灾、固废、粉尘、噪声、废气</w:t>
            </w:r>
            <w:r>
              <w:rPr>
                <w:rFonts w:hint="eastAsia" w:ascii="宋体" w:hAnsi="宋体" w:eastAsia="宋体" w:cs="Times New Roman"/>
                <w:b/>
                <w:sz w:val="21"/>
                <w:szCs w:val="21"/>
              </w:rPr>
              <w:t>，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8.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宋体" w:hAnsi="宋体" w:eastAsia="宋体" w:cs="Times New Roman"/>
                <w:b/>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9. 对特种设备的维护; </w:t>
            </w:r>
            <w:r>
              <w:rPr>
                <w:rFonts w:hint="eastAsia"/>
                <w:b/>
                <w:sz w:val="20"/>
                <w:szCs w:val="20"/>
              </w:rPr>
              <w:t>（适用时）</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10 .对危险化学品销售、使用、储存、运输处置，规定的执行力度(必要时); （适用时）</w:t>
            </w:r>
          </w:p>
          <w:p>
            <w:pPr>
              <w:spacing w:line="240" w:lineRule="exact"/>
              <w:rPr>
                <w:sz w:val="20"/>
                <w:szCs w:val="20"/>
              </w:rPr>
            </w:pPr>
            <w:r>
              <w:rPr>
                <w:rFonts w:hint="eastAsia"/>
                <w:sz w:val="20"/>
                <w:szCs w:val="20"/>
              </w:rPr>
              <w:t>危险化学品：无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sz w:val="20"/>
                <w:szCs w:val="20"/>
              </w:rPr>
            </w:pPr>
            <w:r>
              <w:rPr>
                <w:rFonts w:hint="eastAsia"/>
                <w:b/>
                <w:sz w:val="20"/>
                <w:szCs w:val="20"/>
              </w:rPr>
              <w:t>1. .对质量/环境/职业健康安全目标指标进行定期监测/检查情况（适用时）</w:t>
            </w:r>
          </w:p>
          <w:p>
            <w:pPr>
              <w:spacing w:line="240" w:lineRule="exact"/>
              <w:ind w:firstLine="105" w:firstLineChars="50"/>
              <w:rPr>
                <w:b/>
                <w:sz w:val="20"/>
                <w:szCs w:val="20"/>
              </w:rPr>
            </w:pPr>
            <w:r>
              <w:rPr>
                <w:rFonts w:hint="eastAsia" w:ascii="宋体" w:hAnsi="宋体" w:eastAsia="宋体" w:cs="Times New Roman"/>
                <w:b/>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eastAsia="宋体" w:cs="Times New Roman"/>
                <w:b/>
                <w:sz w:val="21"/>
                <w:szCs w:val="21"/>
                <w:lang w:val="en-US" w:eastAsia="zh-CN"/>
              </w:rPr>
              <w:t>21年1月-6月</w:t>
            </w:r>
            <w:r>
              <w:rPr>
                <w:rFonts w:hint="eastAsia" w:ascii="宋体" w:hAnsi="宋体" w:eastAsia="宋体" w:cs="Times New Roman"/>
                <w:b/>
                <w:sz w:val="21"/>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sz w:val="20"/>
                <w:szCs w:val="20"/>
              </w:rPr>
            </w:pPr>
            <w:r>
              <w:rPr>
                <w:rFonts w:hint="eastAsia"/>
                <w:b/>
                <w:sz w:val="20"/>
                <w:szCs w:val="20"/>
              </w:rPr>
              <w:t>2.顾客满意</w:t>
            </w:r>
          </w:p>
          <w:p>
            <w:pPr>
              <w:spacing w:line="240" w:lineRule="exact"/>
              <w:ind w:left="120" w:leftChars="50" w:firstLine="316" w:firstLineChars="150"/>
              <w:rPr>
                <w:rFonts w:hint="eastAsia" w:eastAsia="宋体"/>
                <w:b/>
                <w:sz w:val="20"/>
                <w:szCs w:val="20"/>
                <w:lang w:val="en-US" w:eastAsia="zh-CN"/>
              </w:rPr>
            </w:pPr>
            <w:r>
              <w:rPr>
                <w:rFonts w:hint="eastAsia" w:ascii="宋体" w:hAnsi="宋体" w:eastAsia="宋体" w:cs="Times New Roman"/>
                <w:b/>
                <w:sz w:val="21"/>
                <w:szCs w:val="21"/>
              </w:rPr>
              <w:t>公司建立了顾客满意度监视和测量控制程序，对顾客投诉处理及顾客满意度评价做了明确的规定，并按规定对顾客反馈及时处理</w:t>
            </w:r>
            <w:r>
              <w:rPr>
                <w:rFonts w:hint="eastAsia" w:ascii="宋体" w:hAnsi="宋体" w:eastAsia="宋体" w:cs="Times New Roman"/>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bookmarkStart w:id="30" w:name="_GoBack" w:colFirst="1" w:colLast="1"/>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ind w:firstLine="422" w:firstLineChars="200"/>
              <w:rPr>
                <w:b/>
                <w:sz w:val="20"/>
                <w:szCs w:val="20"/>
              </w:rPr>
            </w:pPr>
            <w:r>
              <w:rPr>
                <w:rFonts w:hint="eastAsia" w:ascii="宋体" w:hAnsi="宋体" w:eastAsia="宋体" w:cs="Times New Roman"/>
                <w:b/>
                <w:sz w:val="21"/>
                <w:szCs w:val="21"/>
              </w:rPr>
              <w:t>建立有《内部审核控制程序》，规定了内审频次一年</w:t>
            </w:r>
            <w:r>
              <w:rPr>
                <w:rFonts w:hint="eastAsia" w:ascii="宋体" w:hAnsi="宋体" w:eastAsia="宋体" w:cs="Times New Roman"/>
                <w:b/>
                <w:sz w:val="21"/>
                <w:szCs w:val="21"/>
              </w:rPr>
              <w:t>一次，内审时间：20</w:t>
            </w:r>
            <w:r>
              <w:rPr>
                <w:rFonts w:hint="eastAsia" w:ascii="宋体" w:hAnsi="宋体" w:eastAsia="宋体" w:cs="Times New Roman"/>
                <w:b/>
                <w:sz w:val="21"/>
                <w:szCs w:val="21"/>
                <w:lang w:val="en-US" w:eastAsia="zh-CN"/>
              </w:rPr>
              <w:t>21年6月4</w:t>
            </w:r>
            <w:r>
              <w:rPr>
                <w:rFonts w:hint="eastAsia" w:ascii="宋体" w:hAnsi="宋体" w:eastAsia="宋体" w:cs="Times New Roman"/>
                <w:b/>
                <w:sz w:val="21"/>
                <w:szCs w:val="21"/>
              </w:rPr>
              <w:t>日，拟定了审核实施表，明确了内审范围，内审人员经培训合格上岗，能力满足要求，未出现审核本部门情况，内审不符合项</w:t>
            </w:r>
            <w:r>
              <w:rPr>
                <w:rFonts w:hint="eastAsia" w:ascii="宋体" w:hAnsi="宋体" w:eastAsia="宋体" w:cs="Times New Roman"/>
                <w:b/>
                <w:sz w:val="21"/>
                <w:szCs w:val="21"/>
                <w:lang w:val="en-US" w:eastAsia="zh-CN"/>
              </w:rPr>
              <w:t>1</w:t>
            </w:r>
            <w:r>
              <w:rPr>
                <w:rFonts w:hint="eastAsia" w:ascii="宋体" w:hAnsi="宋体" w:eastAsia="宋体" w:cs="Times New Roman"/>
                <w:b/>
                <w:sz w:val="21"/>
                <w:szCs w:val="21"/>
              </w:rPr>
              <w:t>项，涉及</w:t>
            </w:r>
            <w:r>
              <w:rPr>
                <w:rFonts w:hint="eastAsia" w:ascii="宋体" w:hAnsi="宋体" w:eastAsia="宋体" w:cs="Times New Roman"/>
                <w:b/>
                <w:sz w:val="21"/>
                <w:szCs w:val="21"/>
                <w:lang w:val="en-US" w:eastAsia="zh-CN"/>
              </w:rPr>
              <w:t>生产技术部不符合标准8.1.2条款，生产技术部办公室有一处插座线缆有破损</w:t>
            </w:r>
            <w:r>
              <w:rPr>
                <w:rFonts w:hint="eastAsia" w:ascii="宋体" w:hAnsi="宋体" w:eastAsia="宋体" w:cs="Times New Roman"/>
                <w:b/>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4.管理评审（管理评审体系变更需求，纠正和预防措施、体系有效性等）</w:t>
            </w:r>
          </w:p>
          <w:p>
            <w:pPr>
              <w:spacing w:line="240" w:lineRule="exact"/>
              <w:ind w:firstLine="211" w:firstLineChars="100"/>
              <w:rPr>
                <w:b/>
                <w:color w:val="000000" w:themeColor="text1"/>
                <w:sz w:val="20"/>
                <w:szCs w:val="20"/>
                <w:highlight w:val="none"/>
              </w:rPr>
            </w:pPr>
            <w:r>
              <w:rPr>
                <w:rFonts w:hint="eastAsia" w:ascii="宋体" w:hAnsi="宋体" w:eastAsia="宋体" w:cs="Times New Roman"/>
                <w:b/>
                <w:sz w:val="21"/>
                <w:szCs w:val="21"/>
                <w:highlight w:val="none"/>
              </w:rPr>
              <w:t>管理评审频次为一年一次、本次管理评审于20</w:t>
            </w:r>
            <w:r>
              <w:rPr>
                <w:rFonts w:hint="eastAsia" w:ascii="宋体" w:hAnsi="宋体" w:eastAsia="宋体" w:cs="Times New Roman"/>
                <w:b/>
                <w:sz w:val="21"/>
                <w:szCs w:val="21"/>
                <w:highlight w:val="none"/>
                <w:lang w:val="en-US" w:eastAsia="zh-CN"/>
              </w:rPr>
              <w:t>2</w:t>
            </w:r>
            <w:r>
              <w:rPr>
                <w:rFonts w:hint="eastAsia" w:ascii="宋体" w:hAnsi="宋体" w:cs="Times New Roman"/>
                <w:b/>
                <w:sz w:val="21"/>
                <w:szCs w:val="21"/>
                <w:highlight w:val="none"/>
                <w:lang w:val="en-US" w:eastAsia="zh-CN"/>
              </w:rPr>
              <w:t>1</w:t>
            </w:r>
            <w:r>
              <w:rPr>
                <w:rFonts w:hint="eastAsia" w:ascii="宋体" w:hAnsi="宋体" w:eastAsia="宋体" w:cs="Times New Roman"/>
                <w:b/>
                <w:sz w:val="21"/>
                <w:szCs w:val="21"/>
                <w:highlight w:val="none"/>
              </w:rPr>
              <w:t>年</w:t>
            </w:r>
            <w:r>
              <w:rPr>
                <w:rFonts w:hint="eastAsia" w:ascii="宋体" w:hAnsi="宋体" w:cs="Times New Roman"/>
                <w:b/>
                <w:sz w:val="21"/>
                <w:szCs w:val="21"/>
                <w:highlight w:val="none"/>
                <w:lang w:val="en-US" w:eastAsia="zh-CN"/>
              </w:rPr>
              <w:t>6</w:t>
            </w:r>
            <w:r>
              <w:rPr>
                <w:rFonts w:hint="eastAsia" w:ascii="宋体" w:hAnsi="宋体" w:eastAsia="宋体" w:cs="Times New Roman"/>
                <w:b/>
                <w:sz w:val="21"/>
                <w:szCs w:val="21"/>
                <w:highlight w:val="none"/>
              </w:rPr>
              <w:t>月</w:t>
            </w:r>
            <w:r>
              <w:rPr>
                <w:rFonts w:hint="eastAsia" w:ascii="宋体" w:hAnsi="宋体" w:eastAsia="宋体" w:cs="Times New Roman"/>
                <w:b/>
                <w:sz w:val="21"/>
                <w:szCs w:val="21"/>
                <w:highlight w:val="none"/>
                <w:lang w:val="en-US" w:eastAsia="zh-CN"/>
              </w:rPr>
              <w:t>2</w:t>
            </w:r>
            <w:r>
              <w:rPr>
                <w:rFonts w:hint="eastAsia" w:ascii="宋体" w:hAnsi="宋体" w:cs="Times New Roman"/>
                <w:b/>
                <w:sz w:val="21"/>
                <w:szCs w:val="21"/>
                <w:highlight w:val="none"/>
                <w:lang w:val="en-US" w:eastAsia="zh-CN"/>
              </w:rPr>
              <w:t>4</w:t>
            </w:r>
            <w:r>
              <w:rPr>
                <w:rFonts w:hint="eastAsia" w:ascii="宋体" w:hAnsi="宋体" w:eastAsia="宋体" w:cs="Times New Roman"/>
                <w:b/>
                <w:sz w:val="21"/>
                <w:szCs w:val="21"/>
                <w:highlight w:val="none"/>
              </w:rPr>
              <w:t>日由总经理主持完成、提供主要输入材料有各部门总结，输入信息基本充分和满足要求。输出见“管理评审报告”, 做出了管理体系基本适宜、充分和有效的评审结论。</w:t>
            </w:r>
          </w:p>
        </w:tc>
      </w:tr>
      <w:bookmark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rFonts w:hint="default" w:eastAsia="宋体"/>
                <w:sz w:val="20"/>
                <w:szCs w:val="20"/>
                <w:lang w:val="en-US" w:eastAsia="zh-CN"/>
              </w:rPr>
            </w:pPr>
            <w:r>
              <w:rPr>
                <w:rFonts w:hint="eastAsia"/>
                <w:sz w:val="20"/>
                <w:szCs w:val="20"/>
                <w:lang w:val="en-US" w:eastAsia="zh-CN"/>
              </w:rPr>
              <w:t>满足要求，提供第三方出具的三废检测报告，详细见附件。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ascii="宋体" w:hAnsi="宋体"/>
                <w:sz w:val="21"/>
                <w:szCs w:val="21"/>
                <w:lang w:val="en-US" w:eastAsia="zh-CN"/>
              </w:rPr>
              <w:t>提供成都市青白江区环境保护局关于四川乐诚新材料有限公司墙面环保装饰新材料扩建技改项目环境影响报告表审査批复，批复时间2018年5月29日；提供墙面环保装饰新材料扩建技改项目竣工环境保护验收监测报告表，中衡检测验字2019第115号等，提供三废检测报告等，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7.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ind w:firstLine="422" w:firstLineChars="200"/>
              <w:rPr>
                <w:rFonts w:hint="eastAsia" w:ascii="宋体" w:hAnsi="宋体" w:eastAsia="宋体" w:cs="Times New Roman"/>
                <w:b/>
                <w:sz w:val="21"/>
                <w:szCs w:val="21"/>
              </w:rPr>
            </w:pPr>
            <w:r>
              <w:rPr>
                <w:rFonts w:hint="eastAsia" w:ascii="宋体" w:hAnsi="宋体" w:eastAsia="宋体" w:cs="Times New Roman"/>
                <w:b/>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lang w:val="en-US" w:eastAsia="zh-CN"/>
              </w:rPr>
              <w:t>3</w:t>
            </w:r>
            <w:r>
              <w:rPr>
                <w:rFonts w:hint="eastAsia"/>
                <w:b/>
                <w:color w:val="000000" w:themeColor="text1"/>
                <w:sz w:val="20"/>
                <w:szCs w:val="20"/>
              </w:rPr>
              <w:t>.创新情况</w:t>
            </w:r>
          </w:p>
          <w:p>
            <w:pPr>
              <w:spacing w:line="240" w:lineRule="exact"/>
              <w:rPr>
                <w:rFonts w:hint="default"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ascii="Times New Roman" w:hAnsi="Times New Roman" w:eastAsia="宋体" w:cs="Times New Roman"/>
                <w:b/>
                <w:color w:val="000000" w:themeColor="text1"/>
                <w:spacing w:val="-20"/>
                <w:sz w:val="20"/>
                <w:szCs w:val="20"/>
                <w:lang w:val="en-US" w:eastAsia="zh-CN"/>
              </w:rPr>
            </w:pPr>
            <w:r>
              <w:rPr>
                <w:rFonts w:hint="eastAsia" w:ascii="Times New Roman" w:hAnsi="Times New Roman" w:eastAsia="宋体" w:cs="Times New Roman"/>
                <w:b/>
                <w:color w:val="000000" w:themeColor="text1"/>
                <w:spacing w:val="-20"/>
                <w:sz w:val="20"/>
                <w:szCs w:val="20"/>
                <w:lang w:val="en-US" w:eastAsia="zh-CN"/>
              </w:rPr>
              <w:t>4 上次不符合的整改情况（再认证填写）</w:t>
            </w:r>
          </w:p>
          <w:p>
            <w:pPr>
              <w:spacing w:line="240" w:lineRule="exact"/>
              <w:rPr>
                <w:rFonts w:hint="default" w:ascii="Times New Roman" w:hAnsi="Times New Roman" w:eastAsia="宋体" w:cs="Times New Roman"/>
                <w:b/>
                <w:color w:val="000000" w:themeColor="text1"/>
                <w:kern w:val="2"/>
                <w:sz w:val="24"/>
                <w:szCs w:val="21"/>
                <w:lang w:val="en-US" w:eastAsia="zh-CN" w:bidi="ar-SA"/>
              </w:rPr>
            </w:pPr>
            <w:r>
              <w:rPr>
                <w:rFonts w:hint="eastAsia" w:ascii="宋体" w:hAnsi="宋体" w:eastAsia="宋体" w:cs="Times New Roman"/>
                <w:b/>
                <w:sz w:val="21"/>
                <w:szCs w:val="21"/>
                <w:lang w:val="en-US" w:eastAsia="zh-CN"/>
              </w:rPr>
              <w:t>上次不符合条款7.5.3，经本次验证未出现类似情况发生。</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2053"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EMS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rFonts w:hint="eastAsia"/>
          <w:b/>
          <w:sz w:val="21"/>
          <w:lang w:val="en-US" w:eastAsia="zh-CN"/>
        </w:rPr>
        <w:t xml:space="preserve">     </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2834B5"/>
    <w:rsid w:val="065F2CB3"/>
    <w:rsid w:val="087D1E19"/>
    <w:rsid w:val="0C7C294C"/>
    <w:rsid w:val="0CCB5A64"/>
    <w:rsid w:val="0F331BEC"/>
    <w:rsid w:val="120241E8"/>
    <w:rsid w:val="193C3742"/>
    <w:rsid w:val="1E25036E"/>
    <w:rsid w:val="1E761A44"/>
    <w:rsid w:val="203873BB"/>
    <w:rsid w:val="21551C2F"/>
    <w:rsid w:val="271A21BE"/>
    <w:rsid w:val="28BE79AE"/>
    <w:rsid w:val="2C7F5614"/>
    <w:rsid w:val="2D842E3B"/>
    <w:rsid w:val="371243CB"/>
    <w:rsid w:val="389A1F9E"/>
    <w:rsid w:val="38D864BD"/>
    <w:rsid w:val="39497CFD"/>
    <w:rsid w:val="3C5B139F"/>
    <w:rsid w:val="40E96298"/>
    <w:rsid w:val="42467FF3"/>
    <w:rsid w:val="49C94F8C"/>
    <w:rsid w:val="4D975B1C"/>
    <w:rsid w:val="4F3F076D"/>
    <w:rsid w:val="4FEA182A"/>
    <w:rsid w:val="501A70B7"/>
    <w:rsid w:val="57460240"/>
    <w:rsid w:val="5E19323F"/>
    <w:rsid w:val="65FC61F9"/>
    <w:rsid w:val="662E0EF3"/>
    <w:rsid w:val="6F3348FB"/>
    <w:rsid w:val="717054B7"/>
    <w:rsid w:val="7530063F"/>
    <w:rsid w:val="75DA3400"/>
    <w:rsid w:val="76337C21"/>
    <w:rsid w:val="766526EB"/>
    <w:rsid w:val="7BEE319E"/>
    <w:rsid w:val="7C213ADF"/>
    <w:rsid w:val="7D023C36"/>
    <w:rsid w:val="7D9112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uiPriority w:val="99"/>
    <w:rPr>
      <w:color w:val="0000FF"/>
      <w:u w:val="single"/>
    </w:rPr>
  </w:style>
  <w:style w:type="character" w:customStyle="1" w:styleId="9">
    <w:name w:val="批注框文本 Char"/>
    <w:link w:val="2"/>
    <w:semiHidden/>
    <w:locked/>
    <w:uiPriority w:val="99"/>
    <w:rPr>
      <w:rFonts w:ascii="Times New Roman" w:hAnsi="Times New Roman" w:eastAsia="宋体" w:cs="Times New Roman"/>
      <w:sz w:val="18"/>
      <w:szCs w:val="18"/>
    </w:rPr>
  </w:style>
  <w:style w:type="character" w:customStyle="1" w:styleId="10">
    <w:name w:val="页脚 Char"/>
    <w:link w:val="3"/>
    <w:semiHidden/>
    <w:locked/>
    <w:uiPriority w:val="99"/>
    <w:rPr>
      <w:rFonts w:ascii="Times New Roman" w:hAnsi="Times New Roman" w:eastAsia="宋体" w:cs="Times New Roman"/>
      <w:sz w:val="18"/>
      <w:szCs w:val="18"/>
    </w:rPr>
  </w:style>
  <w:style w:type="character" w:customStyle="1" w:styleId="11">
    <w:name w:val="页眉 Char"/>
    <w:link w:val="4"/>
    <w:qFormat/>
    <w:locked/>
    <w:uiPriority w:val="0"/>
    <w:rPr>
      <w:sz w:val="18"/>
    </w:rPr>
  </w:style>
  <w:style w:type="character" w:customStyle="1" w:styleId="12">
    <w:name w:val="页眉 Char1"/>
    <w:semiHidden/>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0</TotalTime>
  <ScaleCrop>false</ScaleCrop>
  <LinksUpToDate>false</LinksUpToDate>
  <CharactersWithSpaces>4294</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Administrator</cp:lastModifiedBy>
  <cp:lastPrinted>2019-04-18T08:15:00Z</cp:lastPrinted>
  <dcterms:modified xsi:type="dcterms:W3CDTF">2021-07-30T01:47:18Z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70B246937C0545AB82D9C2D8DA9A3684</vt:lpwstr>
  </property>
</Properties>
</file>