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841"/>
        <w:gridCol w:w="1020"/>
        <w:gridCol w:w="142"/>
        <w:gridCol w:w="1553"/>
        <w:gridCol w:w="6"/>
        <w:gridCol w:w="567"/>
        <w:gridCol w:w="1134"/>
        <w:gridCol w:w="108"/>
        <w:gridCol w:w="765"/>
        <w:gridCol w:w="334"/>
        <w:gridCol w:w="245"/>
        <w:gridCol w:w="5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四川乐诚新材料有限公司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成都市青白江区工业集中发展区向阳路666号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戢焕俊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13438483236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黄富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0484-2020-E-2021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16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水性涂料、胶粘剂涂料、干粉腻子的生产</w:t>
            </w:r>
            <w:bookmarkEnd w:id="8"/>
            <w:r>
              <w:rPr>
                <w:rFonts w:hint="eastAsia"/>
                <w:sz w:val="20"/>
              </w:rPr>
              <w:t>所涉及场所的相关环境管理活动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926" w:type="dxa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12.03.00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2021年07月30日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2021年07月31日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赵勋平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四川顶立胶业有限公司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12.03.00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2021.07.26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33" w:tblpY="390"/>
        <w:tblOverlap w:val="never"/>
        <w:tblW w:w="1025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8"/>
        <w:gridCol w:w="1545"/>
        <w:gridCol w:w="7760"/>
        <w:gridCol w:w="46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</w:trPr>
        <w:tc>
          <w:tcPr>
            <w:tcW w:w="203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22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7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 xml:space="preserve">管理层: </w:t>
            </w:r>
          </w:p>
          <w:p>
            <w:pP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上次审核不符合验证、证书使用情况验证。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8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10:00-12:00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市场营销部: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13:00-17:30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综合部: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5.3组织的角色、职责和权限；6.1.2环境因素；6.1.3合规义务；6.2目标及其达成的策划；8.1运行策划和控制；8.2应急准备和响应；9.1监视、测量、分析与评估；9.1.2符合性评估；9.2内部审核；10.2不符合和纠正措施；EM</w:t>
            </w:r>
            <w:bookmarkStart w:id="18" w:name="_GoBack"/>
            <w:bookmarkEnd w:id="18"/>
            <w:r>
              <w:rPr>
                <w:rFonts w:hint="eastAsia" w:ascii="宋体" w:hAnsi="宋体" w:cs="Times New Roman"/>
                <w:sz w:val="21"/>
                <w:szCs w:val="21"/>
              </w:rPr>
              <w:t>S运行控制相关财务支出证据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6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生产技术部: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5.3组织的角色、职责和权限；6.1.2环境因素；6.2目标及其达成的策划；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.4沟通；8.1运行策划和控制；8.2应急准备和响应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48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7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F2A75"/>
    <w:rsid w:val="086B53D5"/>
    <w:rsid w:val="08C52068"/>
    <w:rsid w:val="0BBB7B28"/>
    <w:rsid w:val="0EA41FE1"/>
    <w:rsid w:val="117B4DC0"/>
    <w:rsid w:val="160F4A03"/>
    <w:rsid w:val="16734593"/>
    <w:rsid w:val="19761B37"/>
    <w:rsid w:val="1B4240D3"/>
    <w:rsid w:val="218A50DD"/>
    <w:rsid w:val="227D1619"/>
    <w:rsid w:val="2C001369"/>
    <w:rsid w:val="378146B0"/>
    <w:rsid w:val="3AB50084"/>
    <w:rsid w:val="3E0F26AB"/>
    <w:rsid w:val="434F0C70"/>
    <w:rsid w:val="467A0A88"/>
    <w:rsid w:val="490E7771"/>
    <w:rsid w:val="4F442E1F"/>
    <w:rsid w:val="54C7614C"/>
    <w:rsid w:val="558A7AC8"/>
    <w:rsid w:val="5D223BB5"/>
    <w:rsid w:val="6302444D"/>
    <w:rsid w:val="639C3BB9"/>
    <w:rsid w:val="675E0292"/>
    <w:rsid w:val="6B000C05"/>
    <w:rsid w:val="6F273B93"/>
    <w:rsid w:val="6F526B22"/>
    <w:rsid w:val="72067DC3"/>
    <w:rsid w:val="73317622"/>
    <w:rsid w:val="73E95F14"/>
    <w:rsid w:val="75615056"/>
    <w:rsid w:val="76084D69"/>
    <w:rsid w:val="769C4BBE"/>
    <w:rsid w:val="76CD1587"/>
    <w:rsid w:val="79534629"/>
    <w:rsid w:val="79F05BDC"/>
    <w:rsid w:val="7EDF0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2021-07-30T01:38:52Z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DB32C1FE52EA414DA34D76AAFECD9907</vt:lpwstr>
  </property>
</Properties>
</file>