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811"/>
        <w:gridCol w:w="719"/>
        <w:gridCol w:w="567"/>
        <w:gridCol w:w="723"/>
        <w:gridCol w:w="1505"/>
        <w:gridCol w:w="772"/>
        <w:gridCol w:w="948"/>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受审核方名称</w:t>
            </w:r>
          </w:p>
        </w:tc>
        <w:tc>
          <w:tcPr>
            <w:tcW w:w="3820" w:type="dxa"/>
            <w:gridSpan w:val="4"/>
            <w:tcBorders>
              <w:top w:val="single" w:color="auto" w:sz="8" w:space="0"/>
            </w:tcBorders>
            <w:vAlign w:val="center"/>
          </w:tcPr>
          <w:p>
            <w:pPr>
              <w:snapToGrid w:val="0"/>
              <w:spacing w:line="320" w:lineRule="exact"/>
              <w:rPr>
                <w:rFonts w:hint="eastAsia" w:ascii="宋体" w:hAnsi="宋体" w:eastAsia="宋体"/>
                <w:sz w:val="18"/>
              </w:rPr>
            </w:pPr>
            <w:bookmarkStart w:id="4" w:name="组织名称"/>
            <w:r>
              <w:rPr>
                <w:rFonts w:hint="eastAsia" w:ascii="宋体" w:hAnsi="宋体" w:eastAsia="宋体"/>
                <w:sz w:val="18"/>
              </w:rPr>
              <w:t>北京晨航新材科技有限公司</w:t>
            </w:r>
            <w:bookmarkEnd w:id="4"/>
          </w:p>
        </w:tc>
        <w:tc>
          <w:tcPr>
            <w:tcW w:w="2277" w:type="dxa"/>
            <w:gridSpan w:val="2"/>
            <w:tcBorders>
              <w:top w:val="single" w:color="auto" w:sz="8"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专业小类/</w:t>
            </w:r>
          </w:p>
          <w:p>
            <w:pPr>
              <w:snapToGrid w:val="0"/>
              <w:spacing w:line="320" w:lineRule="exact"/>
              <w:rPr>
                <w:rFonts w:hint="eastAsia" w:ascii="宋体" w:hAnsi="宋体" w:eastAsia="宋体"/>
                <w:sz w:val="18"/>
              </w:rPr>
            </w:pPr>
            <w:r>
              <w:rPr>
                <w:rFonts w:hint="eastAsia" w:ascii="宋体" w:hAnsi="宋体" w:eastAsia="宋体"/>
                <w:sz w:val="18"/>
              </w:rPr>
              <w:t>项目代码</w:t>
            </w:r>
          </w:p>
        </w:tc>
        <w:tc>
          <w:tcPr>
            <w:tcW w:w="2327" w:type="dxa"/>
            <w:gridSpan w:val="2"/>
            <w:tcBorders>
              <w:top w:val="single" w:color="auto" w:sz="8" w:space="0"/>
            </w:tcBorders>
            <w:vAlign w:val="center"/>
          </w:tcPr>
          <w:p>
            <w:pPr>
              <w:snapToGrid w:val="0"/>
              <w:spacing w:line="320" w:lineRule="exact"/>
              <w:rPr>
                <w:rFonts w:hint="eastAsia" w:ascii="宋体" w:hAnsi="宋体" w:eastAsia="宋体"/>
                <w:sz w:val="18"/>
              </w:rPr>
            </w:pPr>
            <w:bookmarkStart w:id="5" w:name="专业代码"/>
            <w:r>
              <w:rPr>
                <w:rFonts w:hint="eastAsia" w:ascii="宋体" w:hAnsi="宋体" w:eastAsia="宋体"/>
                <w:sz w:val="18"/>
              </w:rPr>
              <w:t>Q：29.11.05;34.06.00</w:t>
            </w:r>
          </w:p>
          <w:p>
            <w:pPr>
              <w:snapToGrid w:val="0"/>
              <w:spacing w:line="320" w:lineRule="exact"/>
              <w:rPr>
                <w:rFonts w:hint="eastAsia" w:ascii="宋体" w:hAnsi="宋体" w:eastAsia="宋体"/>
                <w:sz w:val="18"/>
              </w:rPr>
            </w:pPr>
            <w:r>
              <w:rPr>
                <w:rFonts w:hint="eastAsia" w:ascii="宋体" w:hAnsi="宋体" w:eastAsia="宋体"/>
                <w:sz w:val="18"/>
              </w:rPr>
              <w:t>E：29.11.05;34.06.00</w:t>
            </w:r>
          </w:p>
          <w:p>
            <w:pPr>
              <w:snapToGrid w:val="0"/>
              <w:spacing w:line="320" w:lineRule="exact"/>
              <w:rPr>
                <w:rFonts w:hint="eastAsia" w:ascii="宋体" w:hAnsi="宋体" w:eastAsia="宋体"/>
                <w:sz w:val="18"/>
              </w:rPr>
            </w:pPr>
            <w:r>
              <w:rPr>
                <w:rFonts w:hint="eastAsia" w:ascii="宋体" w:hAnsi="宋体" w:eastAsia="宋体"/>
                <w:sz w:val="18"/>
              </w:rPr>
              <w:t>O：29.11.05;34.06.00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320" w:lineRule="exact"/>
              <w:rPr>
                <w:rFonts w:hint="eastAsia" w:ascii="宋体" w:hAnsi="宋体" w:eastAsia="宋体"/>
                <w:sz w:val="18"/>
              </w:rPr>
            </w:pPr>
            <w:r>
              <w:rPr>
                <w:rFonts w:hint="eastAsia" w:ascii="宋体" w:hAnsi="宋体" w:eastAsia="宋体"/>
                <w:sz w:val="18"/>
              </w:rPr>
              <w:t>教师姓名</w:t>
            </w:r>
          </w:p>
        </w:tc>
        <w:tc>
          <w:tcPr>
            <w:tcW w:w="1811" w:type="dxa"/>
            <w:vAlign w:val="center"/>
          </w:tcPr>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李京田/朱晓丽</w:t>
            </w:r>
          </w:p>
        </w:tc>
        <w:tc>
          <w:tcPr>
            <w:tcW w:w="1286" w:type="dxa"/>
            <w:gridSpan w:val="2"/>
            <w:vAlign w:val="center"/>
          </w:tcPr>
          <w:p>
            <w:pPr>
              <w:snapToGrid w:val="0"/>
              <w:spacing w:line="320" w:lineRule="exact"/>
              <w:rPr>
                <w:rFonts w:hint="eastAsia" w:ascii="宋体" w:hAnsi="宋体" w:eastAsia="宋体"/>
                <w:sz w:val="18"/>
              </w:rPr>
            </w:pPr>
            <w:r>
              <w:rPr>
                <w:rFonts w:hint="eastAsia" w:ascii="宋体" w:hAnsi="宋体" w:eastAsia="宋体"/>
                <w:sz w:val="18"/>
              </w:rPr>
              <w:t>专业</w:t>
            </w:r>
          </w:p>
        </w:tc>
        <w:tc>
          <w:tcPr>
            <w:tcW w:w="2228" w:type="dxa"/>
            <w:gridSpan w:val="2"/>
            <w:vAlign w:val="center"/>
          </w:tcPr>
          <w:p>
            <w:pPr>
              <w:snapToGrid w:val="0"/>
              <w:spacing w:line="320" w:lineRule="exact"/>
              <w:rPr>
                <w:rFonts w:hint="eastAsia" w:ascii="宋体" w:hAnsi="宋体" w:eastAsia="宋体"/>
                <w:sz w:val="18"/>
              </w:rPr>
            </w:pPr>
            <w:r>
              <w:rPr>
                <w:rFonts w:hint="eastAsia" w:ascii="宋体" w:hAnsi="宋体" w:eastAsia="宋体"/>
                <w:sz w:val="18"/>
              </w:rPr>
              <w:t>Q：29.11.05;34.06.00</w:t>
            </w:r>
          </w:p>
          <w:p>
            <w:pPr>
              <w:snapToGrid w:val="0"/>
              <w:spacing w:line="320" w:lineRule="exact"/>
              <w:rPr>
                <w:rFonts w:hint="eastAsia" w:ascii="宋体" w:hAnsi="宋体" w:eastAsia="宋体"/>
                <w:sz w:val="18"/>
              </w:rPr>
            </w:pPr>
            <w:r>
              <w:rPr>
                <w:rFonts w:hint="eastAsia" w:ascii="宋体" w:hAnsi="宋体" w:eastAsia="宋体"/>
                <w:sz w:val="18"/>
              </w:rPr>
              <w:t>E：29.11.05;34.06.00</w:t>
            </w:r>
          </w:p>
          <w:p>
            <w:pPr>
              <w:snapToGrid w:val="0"/>
              <w:spacing w:line="320" w:lineRule="exact"/>
              <w:rPr>
                <w:rFonts w:hint="eastAsia" w:ascii="宋体" w:hAnsi="宋体" w:eastAsia="宋体"/>
                <w:sz w:val="18"/>
              </w:rPr>
            </w:pPr>
            <w:r>
              <w:rPr>
                <w:rFonts w:hint="eastAsia" w:ascii="宋体" w:hAnsi="宋体" w:eastAsia="宋体"/>
                <w:sz w:val="18"/>
              </w:rPr>
              <w:t>O：29.11.05;34.06.00</w:t>
            </w:r>
          </w:p>
        </w:tc>
        <w:tc>
          <w:tcPr>
            <w:tcW w:w="1720" w:type="dxa"/>
            <w:gridSpan w:val="2"/>
            <w:vAlign w:val="center"/>
          </w:tcPr>
          <w:p>
            <w:pPr>
              <w:snapToGrid w:val="0"/>
              <w:spacing w:line="320" w:lineRule="exact"/>
              <w:rPr>
                <w:rFonts w:hint="eastAsia" w:ascii="宋体" w:hAnsi="宋体" w:eastAsia="宋体"/>
                <w:sz w:val="18"/>
              </w:rPr>
            </w:pPr>
            <w:r>
              <w:rPr>
                <w:rFonts w:hint="eastAsia" w:ascii="宋体" w:hAnsi="宋体" w:eastAsia="宋体"/>
                <w:sz w:val="18"/>
              </w:rPr>
              <w:t>培训地点</w:t>
            </w:r>
          </w:p>
        </w:tc>
        <w:tc>
          <w:tcPr>
            <w:tcW w:w="1379" w:type="dxa"/>
            <w:vAlign w:val="center"/>
          </w:tcPr>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受培训人员</w:t>
            </w:r>
          </w:p>
        </w:tc>
        <w:tc>
          <w:tcPr>
            <w:tcW w:w="1340" w:type="dxa"/>
            <w:vAlign w:val="center"/>
          </w:tcPr>
          <w:p>
            <w:pPr>
              <w:snapToGrid w:val="0"/>
              <w:spacing w:line="320" w:lineRule="exact"/>
              <w:rPr>
                <w:rFonts w:hint="eastAsia" w:ascii="宋体" w:hAnsi="宋体" w:eastAsia="宋体"/>
                <w:sz w:val="18"/>
              </w:rPr>
            </w:pPr>
            <w:r>
              <w:rPr>
                <w:rFonts w:hint="eastAsia" w:ascii="宋体" w:hAnsi="宋体" w:eastAsia="宋体"/>
                <w:sz w:val="18"/>
              </w:rPr>
              <w:t>姓名</w:t>
            </w:r>
          </w:p>
        </w:tc>
        <w:tc>
          <w:tcPr>
            <w:tcW w:w="2530" w:type="dxa"/>
            <w:gridSpan w:val="2"/>
            <w:vAlign w:val="center"/>
          </w:tcPr>
          <w:p>
            <w:pPr>
              <w:snapToGrid w:val="0"/>
              <w:spacing w:line="320" w:lineRule="exact"/>
              <w:rPr>
                <w:rFonts w:hint="eastAsia" w:ascii="宋体" w:hAnsi="宋体" w:eastAsia="宋体"/>
                <w:sz w:val="18"/>
              </w:rPr>
            </w:pPr>
            <w:r>
              <w:rPr>
                <w:rFonts w:hint="eastAsia" w:ascii="宋体" w:hAnsi="宋体" w:eastAsia="宋体"/>
                <w:sz w:val="18"/>
                <w:lang w:val="en-US" w:eastAsia="zh-CN"/>
              </w:rPr>
              <w:t>朱晓丽</w:t>
            </w:r>
          </w:p>
        </w:tc>
        <w:tc>
          <w:tcPr>
            <w:tcW w:w="1290" w:type="dxa"/>
            <w:gridSpan w:val="2"/>
            <w:vAlign w:val="center"/>
          </w:tcPr>
          <w:p>
            <w:pPr>
              <w:snapToGrid w:val="0"/>
              <w:spacing w:line="320" w:lineRule="exact"/>
              <w:rPr>
                <w:rFonts w:hint="eastAsia" w:ascii="宋体" w:hAnsi="宋体" w:eastAsia="宋体"/>
                <w:sz w:val="18"/>
              </w:rPr>
            </w:pPr>
            <w:r>
              <w:rPr>
                <w:rFonts w:hint="eastAsia" w:ascii="宋体" w:hAnsi="宋体" w:eastAsia="宋体"/>
                <w:sz w:val="18"/>
              </w:rPr>
              <w:t>于立秋</w:t>
            </w:r>
          </w:p>
        </w:tc>
        <w:tc>
          <w:tcPr>
            <w:tcW w:w="1505" w:type="dxa"/>
            <w:vAlign w:val="center"/>
          </w:tcPr>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李京田</w:t>
            </w:r>
          </w:p>
        </w:tc>
        <w:tc>
          <w:tcPr>
            <w:tcW w:w="1720" w:type="dxa"/>
            <w:gridSpan w:val="2"/>
            <w:vAlign w:val="center"/>
          </w:tcPr>
          <w:p>
            <w:pPr>
              <w:snapToGrid w:val="0"/>
              <w:spacing w:line="320" w:lineRule="exact"/>
              <w:rPr>
                <w:rFonts w:hint="eastAsia" w:ascii="宋体" w:hAnsi="宋体" w:eastAsia="宋体"/>
                <w:sz w:val="18"/>
              </w:rPr>
            </w:pPr>
          </w:p>
        </w:tc>
        <w:tc>
          <w:tcPr>
            <w:tcW w:w="1379" w:type="dxa"/>
            <w:vAlign w:val="center"/>
          </w:tcPr>
          <w:p>
            <w:pPr>
              <w:snapToGrid w:val="0"/>
              <w:spacing w:line="320" w:lineRule="exact"/>
              <w:rPr>
                <w:rFonts w:hint="eastAsia" w:ascii="宋体" w:hAns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20" w:lineRule="exact"/>
              <w:rPr>
                <w:rFonts w:hint="eastAsia" w:ascii="宋体" w:hAnsi="宋体" w:eastAsia="宋体"/>
                <w:sz w:val="18"/>
              </w:rPr>
            </w:pPr>
          </w:p>
        </w:tc>
        <w:tc>
          <w:tcPr>
            <w:tcW w:w="1340" w:type="dxa"/>
            <w:vAlign w:val="center"/>
          </w:tcPr>
          <w:p>
            <w:pPr>
              <w:snapToGrid w:val="0"/>
              <w:spacing w:line="320" w:lineRule="exact"/>
              <w:rPr>
                <w:rFonts w:hint="eastAsia" w:ascii="宋体" w:hAnsi="宋体" w:eastAsia="宋体"/>
                <w:sz w:val="18"/>
              </w:rPr>
            </w:pPr>
            <w:r>
              <w:rPr>
                <w:rFonts w:hint="eastAsia" w:ascii="宋体" w:hAnsi="宋体" w:eastAsia="宋体"/>
                <w:sz w:val="18"/>
              </w:rPr>
              <w:t>专业代码</w:t>
            </w:r>
          </w:p>
        </w:tc>
        <w:tc>
          <w:tcPr>
            <w:tcW w:w="2530" w:type="dxa"/>
            <w:gridSpan w:val="2"/>
            <w:vAlign w:val="center"/>
          </w:tcPr>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w:t>
            </w:r>
          </w:p>
        </w:tc>
        <w:tc>
          <w:tcPr>
            <w:tcW w:w="1290" w:type="dxa"/>
            <w:gridSpan w:val="2"/>
            <w:vAlign w:val="center"/>
          </w:tcPr>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w:t>
            </w:r>
          </w:p>
        </w:tc>
        <w:tc>
          <w:tcPr>
            <w:tcW w:w="1505" w:type="dxa"/>
            <w:vAlign w:val="center"/>
          </w:tcPr>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w:t>
            </w:r>
          </w:p>
        </w:tc>
        <w:tc>
          <w:tcPr>
            <w:tcW w:w="1720" w:type="dxa"/>
            <w:gridSpan w:val="2"/>
            <w:vAlign w:val="center"/>
          </w:tcPr>
          <w:p>
            <w:pPr>
              <w:snapToGrid w:val="0"/>
              <w:spacing w:line="320" w:lineRule="exact"/>
              <w:rPr>
                <w:rFonts w:hint="eastAsia" w:ascii="宋体" w:hAnsi="宋体" w:eastAsia="宋体"/>
                <w:sz w:val="18"/>
              </w:rPr>
            </w:pPr>
          </w:p>
        </w:tc>
        <w:tc>
          <w:tcPr>
            <w:tcW w:w="1379" w:type="dxa"/>
            <w:vAlign w:val="center"/>
          </w:tcPr>
          <w:p>
            <w:pPr>
              <w:snapToGrid w:val="0"/>
              <w:spacing w:line="320" w:lineRule="exact"/>
              <w:rPr>
                <w:rFonts w:hint="eastAsia" w:ascii="宋体" w:hAns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生产工艺/</w:t>
            </w:r>
          </w:p>
          <w:p>
            <w:pPr>
              <w:snapToGrid w:val="0"/>
              <w:spacing w:line="320" w:lineRule="exact"/>
              <w:rPr>
                <w:rFonts w:hint="eastAsia" w:ascii="宋体" w:hAnsi="宋体" w:eastAsia="宋体"/>
                <w:sz w:val="18"/>
              </w:rPr>
            </w:pPr>
            <w:r>
              <w:rPr>
                <w:rFonts w:hint="eastAsia" w:ascii="宋体" w:hAnsi="宋体" w:eastAsia="宋体"/>
                <w:sz w:val="18"/>
              </w:rPr>
              <w:t>服务过程</w:t>
            </w:r>
          </w:p>
        </w:tc>
        <w:tc>
          <w:tcPr>
            <w:tcW w:w="8424" w:type="dxa"/>
            <w:gridSpan w:val="8"/>
            <w:vAlign w:val="center"/>
          </w:tcPr>
          <w:p>
            <w:pPr>
              <w:snapToGrid w:val="0"/>
              <w:spacing w:line="320" w:lineRule="exact"/>
              <w:rPr>
                <w:rFonts w:hint="eastAsia" w:ascii="宋体" w:hAnsi="宋体" w:eastAsia="宋体"/>
                <w:sz w:val="18"/>
              </w:rPr>
            </w:pPr>
            <w:r>
              <w:rPr>
                <w:rFonts w:hint="eastAsia" w:ascii="宋体" w:hAnsi="宋体" w:eastAsia="宋体"/>
                <w:sz w:val="18"/>
                <w:lang w:eastAsia="zh-CN"/>
              </w:rPr>
              <w:t>技术服务</w:t>
            </w:r>
            <w:r>
              <w:rPr>
                <w:rFonts w:hint="eastAsia" w:ascii="宋体" w:hAnsi="宋体" w:eastAsia="宋体"/>
                <w:sz w:val="18"/>
              </w:rPr>
              <w:t xml:space="preserve"> 流 程</w:t>
            </w:r>
          </w:p>
          <w:p>
            <w:pPr>
              <w:snapToGrid w:val="0"/>
              <w:spacing w:line="320" w:lineRule="exact"/>
              <w:rPr>
                <w:rFonts w:hint="eastAsia" w:ascii="宋体" w:hAnsi="宋体" w:eastAsia="宋体"/>
                <w:sz w:val="18"/>
              </w:rPr>
            </w:pPr>
            <w:r>
              <w:rPr>
                <w:rFonts w:hint="eastAsia" w:ascii="宋体" w:hAnsi="宋体" w:eastAsia="宋体"/>
                <w:sz w:val="18"/>
              </w:rPr>
              <w:t xml:space="preserve">油漆（溶剂型粘合剂、漆用树脂）、涂料（水溶性粘合剂，乳液型粘合剂）的技术推广服务：客户前期技术咨询---提出项目需求---项目进行技术可行性汇报--内容分析---提出优化解决方案（可行性分析、测试、CH系列油漆或涂料的固体份、附着力、柔韧性、耐碱性、耐酸性、耐盐水性、耐候性）---客户确认项目成果--交付--后续服务。 </w:t>
            </w:r>
            <w:r>
              <w:rPr>
                <w:rFonts w:hint="eastAsia" w:ascii="宋体" w:hAnsi="宋体" w:eastAsia="宋体"/>
                <w:sz w:val="18"/>
              </w:rPr>
              <w:br w:type="textWrapping"/>
            </w:r>
            <w:r>
              <w:rPr>
                <w:rFonts w:hint="eastAsia" w:ascii="宋体" w:hAnsi="宋体" w:eastAsia="宋体"/>
                <w:sz w:val="18"/>
              </w:rPr>
              <w:t xml:space="preserve">  销售</w:t>
            </w:r>
            <w:r>
              <w:rPr>
                <w:rFonts w:hint="eastAsia" w:ascii="宋体" w:hAnsi="宋体" w:eastAsia="宋体"/>
                <w:sz w:val="18"/>
                <w:lang w:eastAsia="zh-CN"/>
              </w:rPr>
              <w:t>流程</w:t>
            </w:r>
            <w:r>
              <w:rPr>
                <w:rFonts w:hint="eastAsia" w:ascii="宋体" w:hAnsi="宋体" w:eastAsia="宋体"/>
                <w:sz w:val="18"/>
              </w:rPr>
              <w:t>：</w:t>
            </w:r>
          </w:p>
          <w:p>
            <w:pPr>
              <w:snapToGrid w:val="0"/>
              <w:spacing w:line="320" w:lineRule="exact"/>
              <w:rPr>
                <w:rFonts w:hint="eastAsia" w:ascii="宋体" w:hAnsi="宋体" w:eastAsia="宋体"/>
                <w:sz w:val="18"/>
                <w:lang w:val="zh-CN"/>
              </w:rPr>
            </w:pPr>
            <w:r>
              <w:rPr>
                <w:rFonts w:hint="eastAsia" w:ascii="宋体" w:hAnsi="宋体" w:eastAsia="宋体"/>
                <w:sz w:val="18"/>
              </w:rPr>
              <w:t xml:space="preserve">客户接触----合同评审----签订合同-----客户付款------入帐------采购-----客户提货-----验收-----发货-----收回单据-----交付 </w:t>
            </w:r>
          </w:p>
          <w:p>
            <w:pPr>
              <w:snapToGrid w:val="0"/>
              <w:spacing w:line="320" w:lineRule="exact"/>
              <w:rPr>
                <w:rFonts w:hint="eastAsia" w:ascii="宋体" w:hAns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生产过程/服务过程</w:t>
            </w:r>
          </w:p>
          <w:p>
            <w:pPr>
              <w:snapToGrid w:val="0"/>
              <w:spacing w:line="320" w:lineRule="exact"/>
              <w:rPr>
                <w:rFonts w:hint="eastAsia" w:ascii="宋体" w:hAnsi="宋体" w:eastAsia="宋体"/>
                <w:sz w:val="18"/>
              </w:rPr>
            </w:pPr>
            <w:r>
              <w:rPr>
                <w:rFonts w:hint="eastAsia" w:ascii="宋体" w:hAnsi="宋体" w:eastAsia="宋体"/>
                <w:sz w:val="18"/>
              </w:rPr>
              <w:t>的风险及控制措施</w:t>
            </w:r>
          </w:p>
          <w:p>
            <w:pPr>
              <w:snapToGrid w:val="0"/>
              <w:spacing w:line="320" w:lineRule="exact"/>
              <w:rPr>
                <w:rFonts w:hint="eastAsia" w:ascii="宋体" w:hAnsi="宋体" w:eastAsia="宋体"/>
                <w:sz w:val="18"/>
              </w:rPr>
            </w:pPr>
            <w:r>
              <w:rPr>
                <w:rFonts w:hint="eastAsia" w:ascii="宋体" w:hAnsi="宋体" w:eastAsia="宋体"/>
                <w:sz w:val="18"/>
              </w:rPr>
              <w:t>特殊过程的控制</w:t>
            </w:r>
          </w:p>
        </w:tc>
        <w:tc>
          <w:tcPr>
            <w:tcW w:w="8424" w:type="dxa"/>
            <w:gridSpan w:val="8"/>
            <w:vAlign w:val="center"/>
          </w:tcPr>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技术服务过程：</w:t>
            </w:r>
            <w:r>
              <w:rPr>
                <w:rFonts w:hint="default" w:ascii="宋体" w:hAnsi="宋体" w:eastAsia="宋体"/>
                <w:sz w:val="18"/>
                <w:lang w:val="en-US" w:eastAsia="zh-CN"/>
              </w:rPr>
              <w:tab/>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 xml:space="preserve">1）有无作业指导书。                                         </w:t>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 xml:space="preserve">2）设备、工具是否通过验收检定。                            </w:t>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 xml:space="preserve">3）是否规定并实施对设备、工具的保养和检查。               </w:t>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 xml:space="preserve">4）特殊过程的员工是否持证上岗。                           </w:t>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 xml:space="preserve">5）现场观察、小样试验结果是否合格。                       </w:t>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 xml:space="preserve">6）是否对过程参数进行监视并保持记录。                     </w:t>
            </w:r>
          </w:p>
          <w:p>
            <w:pPr>
              <w:snapToGrid w:val="0"/>
              <w:spacing w:line="320" w:lineRule="exact"/>
              <w:rPr>
                <w:rFonts w:hint="default" w:ascii="宋体" w:hAnsi="宋体" w:eastAsia="宋体"/>
                <w:sz w:val="18"/>
                <w:lang w:val="en-US" w:eastAsia="zh-CN"/>
              </w:rPr>
            </w:pPr>
            <w:r>
              <w:rPr>
                <w:rFonts w:hint="default" w:ascii="宋体" w:hAnsi="宋体" w:eastAsia="宋体"/>
                <w:sz w:val="18"/>
                <w:lang w:val="en-US" w:eastAsia="zh-CN"/>
              </w:rPr>
              <w:t>7）其他（如有可将相关内容附在此报告后）。</w:t>
            </w:r>
          </w:p>
          <w:p>
            <w:pPr>
              <w:snapToGrid w:val="0"/>
              <w:spacing w:line="320" w:lineRule="exact"/>
              <w:rPr>
                <w:rFonts w:hint="eastAsia" w:ascii="宋体" w:hAnsi="宋体" w:eastAsia="宋体"/>
                <w:sz w:val="18"/>
                <w:lang w:val="en-US" w:eastAsia="zh-CN"/>
              </w:rPr>
            </w:pPr>
          </w:p>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销售服务过程：</w:t>
            </w:r>
          </w:p>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产品:油漆（溶剂型粘合剂、漆用树脂）、涂料（水溶性粘合剂，乳液型粘合剂）</w:t>
            </w:r>
          </w:p>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确认的服务过程有:</w:t>
            </w:r>
          </w:p>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1)接单:销售部业务员接收和接洽，是否有记录公司的《服务礼仪规定》能否满足要求，有无顾客投诉</w:t>
            </w:r>
          </w:p>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2)采购:接收的产品销售任务是否及时传递到生产供方\编制“采购计划表”，是否及时跟踪并控制交货进度</w:t>
            </w:r>
          </w:p>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3)发货:销售人员根据订单，直接从供应商处把货物发到客户，销售部业务人员要仔细核对发货信息、货物信息等，是否检查防护措施/顾客要求时，是否按提供质量保证资料</w:t>
            </w:r>
          </w:p>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4)售后服务:提交产品后，销售部是否去电话询问产品质量情况/顾客有上门服务要求时，是否在规定时间内予以答复并填写质量信息记录和顾客服务记录</w:t>
            </w:r>
          </w:p>
          <w:p>
            <w:pPr>
              <w:snapToGrid w:val="0"/>
              <w:spacing w:line="320" w:lineRule="exact"/>
              <w:rPr>
                <w:rFonts w:hint="eastAsia" w:ascii="宋体" w:hAns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重要环境及控制措施</w:t>
            </w:r>
          </w:p>
        </w:tc>
        <w:tc>
          <w:tcPr>
            <w:tcW w:w="8424" w:type="dxa"/>
            <w:gridSpan w:val="8"/>
            <w:vAlign w:val="center"/>
          </w:tcPr>
          <w:p>
            <w:pPr>
              <w:snapToGrid w:val="0"/>
              <w:spacing w:line="320" w:lineRule="exact"/>
              <w:rPr>
                <w:rFonts w:hint="eastAsia" w:ascii="宋体" w:hAnsi="宋体" w:eastAsia="宋体"/>
                <w:sz w:val="18"/>
              </w:rPr>
            </w:pPr>
            <w:r>
              <w:rPr>
                <w:rFonts w:hint="eastAsia" w:ascii="宋体" w:hAnsi="宋体" w:eastAsia="宋体"/>
                <w:sz w:val="18"/>
              </w:rPr>
              <w:t>编制了《环境因素的识别与评价控制程序》符合标准要求.</w:t>
            </w:r>
          </w:p>
          <w:p>
            <w:pPr>
              <w:snapToGrid w:val="0"/>
              <w:spacing w:line="320" w:lineRule="exact"/>
              <w:rPr>
                <w:rFonts w:hint="eastAsia" w:ascii="宋体" w:hAnsi="宋体" w:eastAsia="宋体"/>
                <w:sz w:val="18"/>
              </w:rPr>
            </w:pPr>
            <w:r>
              <w:rPr>
                <w:rFonts w:hint="eastAsia" w:ascii="宋体" w:hAnsi="宋体" w:eastAsia="宋体"/>
                <w:sz w:val="18"/>
              </w:rPr>
              <w:t>提供的“环境因素识别评价表”“重要环境因素清单”， 评价考虑了三种时态现在、过去、将来、三种状态、异常、正常、紧急考虑了法律法规，并进行了评价，针对油漆（溶剂型粘合剂、漆用树脂）、涂料（水溶性粘合剂，乳液型粘合剂）的技术推广服务及销售服务过程，用打分法考虑了法规符合性、发生频次、影响范围等, 通过定性判断法，共识别出重大环境因素2项：固废排放、火灾，评价符合程序要求及公司的实际情况。</w:t>
            </w:r>
          </w:p>
          <w:p>
            <w:pPr>
              <w:snapToGrid w:val="0"/>
              <w:spacing w:line="320" w:lineRule="exact"/>
              <w:rPr>
                <w:rFonts w:hint="eastAsia" w:ascii="宋体" w:hAns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不可接受风险的危险源及控制措施</w:t>
            </w:r>
          </w:p>
        </w:tc>
        <w:tc>
          <w:tcPr>
            <w:tcW w:w="8424" w:type="dxa"/>
            <w:gridSpan w:val="8"/>
            <w:vAlign w:val="center"/>
          </w:tcPr>
          <w:p>
            <w:pPr>
              <w:snapToGrid w:val="0"/>
              <w:spacing w:line="320" w:lineRule="exact"/>
              <w:rPr>
                <w:rFonts w:hint="eastAsia" w:ascii="宋体" w:hAnsi="宋体" w:eastAsia="宋体"/>
                <w:sz w:val="18"/>
              </w:rPr>
            </w:pPr>
            <w:r>
              <w:rPr>
                <w:rFonts w:hint="eastAsia" w:ascii="宋体" w:hAnsi="宋体" w:eastAsia="宋体"/>
                <w:sz w:val="18"/>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napToGrid w:val="0"/>
              <w:spacing w:line="320" w:lineRule="exact"/>
              <w:rPr>
                <w:rFonts w:hint="eastAsia" w:ascii="宋体" w:hAnsi="宋体" w:eastAsia="宋体"/>
                <w:sz w:val="18"/>
              </w:rPr>
            </w:pPr>
            <w:r>
              <w:rPr>
                <w:rFonts w:hint="eastAsia" w:ascii="宋体" w:hAnsi="宋体" w:eastAsia="宋体"/>
                <w:sz w:val="18"/>
              </w:rPr>
              <w:t>提供的：“危险源识别与风险评价表”“不可接受风险源清单”， 评价考虑了将来、状态、可能导致的事件，并进行了评价，用打分法考虑了法规符合性、发生频次、影响范围等, 通过是非法，共识别出不可接受风险2项，涉及：火灾和触电</w:t>
            </w:r>
            <w:r>
              <w:rPr>
                <w:rFonts w:hint="eastAsia" w:ascii="宋体" w:hAnsi="宋体" w:eastAsia="宋体"/>
                <w:sz w:val="18"/>
                <w:lang w:eastAsia="zh-CN"/>
              </w:rPr>
              <w:t>、</w:t>
            </w:r>
            <w:r>
              <w:rPr>
                <w:rFonts w:hint="eastAsia" w:ascii="宋体" w:hAnsi="宋体" w:eastAsia="宋体"/>
                <w:sz w:val="18"/>
                <w:lang w:val="en-US" w:eastAsia="zh-CN"/>
              </w:rPr>
              <w:t>意外伤害</w:t>
            </w:r>
            <w:r>
              <w:rPr>
                <w:rFonts w:hint="eastAsia" w:ascii="宋体" w:hAnsi="宋体" w:eastAsia="宋体"/>
                <w:sz w:val="18"/>
              </w:rPr>
              <w:t>，评价符合程序要求及公司的实际情况。对危险源的控制措施包括制定管理制度、监督检查、应急预案、培训等。</w:t>
            </w:r>
          </w:p>
          <w:p>
            <w:pPr>
              <w:snapToGrid w:val="0"/>
              <w:spacing w:line="320" w:lineRule="exact"/>
              <w:rPr>
                <w:rFonts w:hint="eastAsia" w:ascii="宋体" w:hAnsi="宋体" w:eastAsia="宋体"/>
                <w:sz w:val="18"/>
              </w:rPr>
            </w:pPr>
            <w:r>
              <w:rPr>
                <w:rFonts w:hint="eastAsia" w:ascii="宋体" w:hAnsi="宋体" w:eastAsia="宋体"/>
                <w:sz w:val="18"/>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相关法律法规的要求及产品标准</w:t>
            </w:r>
          </w:p>
        </w:tc>
        <w:tc>
          <w:tcPr>
            <w:tcW w:w="8424" w:type="dxa"/>
            <w:gridSpan w:val="8"/>
            <w:vAlign w:val="center"/>
          </w:tcPr>
          <w:p>
            <w:pPr>
              <w:snapToGrid w:val="0"/>
              <w:spacing w:line="320" w:lineRule="exact"/>
              <w:rPr>
                <w:rFonts w:hint="eastAsia" w:ascii="宋体" w:hAnsi="宋体" w:eastAsia="宋体"/>
                <w:sz w:val="18"/>
              </w:rPr>
            </w:pPr>
            <w:r>
              <w:rPr>
                <w:rFonts w:hint="eastAsia" w:ascii="宋体" w:hAnsi="宋体" w:eastAsia="宋体"/>
                <w:sz w:val="18"/>
              </w:rPr>
              <w:t>GB/T 9750 涂料产品包装标志</w:t>
            </w:r>
          </w:p>
          <w:p>
            <w:pPr>
              <w:snapToGrid w:val="0"/>
              <w:spacing w:line="320" w:lineRule="exact"/>
              <w:rPr>
                <w:rFonts w:hint="eastAsia" w:ascii="宋体" w:hAnsi="宋体" w:eastAsia="宋体"/>
                <w:sz w:val="18"/>
              </w:rPr>
            </w:pPr>
            <w:r>
              <w:rPr>
                <w:rFonts w:hint="eastAsia" w:ascii="宋体" w:hAnsi="宋体" w:eastAsia="宋体"/>
                <w:sz w:val="18"/>
              </w:rPr>
              <w:t>GB/T 9755-2001 合成树脂乳液外墙涂料</w:t>
            </w:r>
          </w:p>
          <w:p>
            <w:pPr>
              <w:snapToGrid w:val="0"/>
              <w:spacing w:line="320" w:lineRule="exact"/>
              <w:rPr>
                <w:rFonts w:hint="eastAsia" w:ascii="宋体" w:hAnsi="宋体" w:eastAsia="宋体"/>
                <w:sz w:val="18"/>
              </w:rPr>
            </w:pPr>
            <w:r>
              <w:rPr>
                <w:rFonts w:hint="eastAsia" w:ascii="宋体" w:hAnsi="宋体" w:eastAsia="宋体"/>
                <w:sz w:val="18"/>
              </w:rPr>
              <w:t>GB/T 13491 涂料产品包装通则</w:t>
            </w:r>
          </w:p>
          <w:p>
            <w:pPr>
              <w:snapToGrid w:val="0"/>
              <w:spacing w:line="320" w:lineRule="exact"/>
              <w:rPr>
                <w:rFonts w:hint="eastAsia" w:ascii="宋体" w:hAnsi="宋体" w:eastAsia="宋体"/>
                <w:sz w:val="18"/>
              </w:rPr>
            </w:pPr>
            <w:r>
              <w:rPr>
                <w:rFonts w:hint="eastAsia" w:ascii="宋体" w:hAnsi="宋体" w:eastAsia="宋体"/>
                <w:sz w:val="18"/>
              </w:rPr>
              <w:t>HG/T 2458 涂料产品检验、运输和储存通则</w:t>
            </w:r>
          </w:p>
          <w:p>
            <w:pPr>
              <w:snapToGrid w:val="0"/>
              <w:spacing w:line="320" w:lineRule="exact"/>
              <w:rPr>
                <w:rFonts w:hint="eastAsia" w:ascii="宋体" w:hAnsi="宋体" w:eastAsia="宋体"/>
                <w:sz w:val="18"/>
              </w:rPr>
            </w:pPr>
            <w:r>
              <w:rPr>
                <w:rFonts w:hint="eastAsia" w:ascii="宋体" w:hAnsi="宋体" w:eastAsia="宋体"/>
                <w:sz w:val="18"/>
              </w:rPr>
              <w:t>内墙乳胶漆GB/T9756-2001</w:t>
            </w:r>
          </w:p>
          <w:p>
            <w:pPr>
              <w:snapToGrid w:val="0"/>
              <w:spacing w:line="320" w:lineRule="exact"/>
              <w:rPr>
                <w:rFonts w:hint="eastAsia" w:ascii="宋体" w:hAnsi="宋体" w:eastAsia="宋体"/>
                <w:sz w:val="18"/>
              </w:rPr>
            </w:pPr>
            <w:r>
              <w:rPr>
                <w:rFonts w:hint="eastAsia" w:ascii="宋体" w:hAnsi="宋体" w:eastAsia="宋体"/>
                <w:sz w:val="18"/>
              </w:rPr>
              <w:t>外墙乳胶漆GB/T9755-2001</w:t>
            </w:r>
          </w:p>
          <w:p>
            <w:pPr>
              <w:snapToGrid w:val="0"/>
              <w:spacing w:line="320" w:lineRule="exact"/>
              <w:rPr>
                <w:rFonts w:hint="eastAsia" w:ascii="宋体" w:hAnsi="宋体" w:eastAsia="宋体"/>
                <w:sz w:val="18"/>
              </w:rPr>
            </w:pPr>
            <w:r>
              <w:rPr>
                <w:rFonts w:hint="eastAsia" w:ascii="宋体" w:hAnsi="宋体" w:eastAsia="宋体"/>
                <w:sz w:val="18"/>
              </w:rPr>
              <w:t>溶剂型外墙涂料GB/T9757-2001</w:t>
            </w:r>
          </w:p>
          <w:p>
            <w:pPr>
              <w:snapToGrid w:val="0"/>
              <w:spacing w:line="320" w:lineRule="exact"/>
              <w:rPr>
                <w:rFonts w:hint="eastAsia" w:ascii="宋体" w:hAnsi="宋体" w:eastAsia="宋体"/>
                <w:sz w:val="18"/>
              </w:rPr>
            </w:pPr>
            <w:r>
              <w:rPr>
                <w:rFonts w:hint="eastAsia" w:ascii="宋体" w:hAnsi="宋体" w:eastAsia="宋体"/>
                <w:sz w:val="18"/>
              </w:rPr>
              <w:t>合成树脂乳液砂壁状建筑涂料JG/T24-2002</w:t>
            </w:r>
          </w:p>
          <w:p>
            <w:pPr>
              <w:snapToGrid w:val="0"/>
              <w:spacing w:line="320" w:lineRule="exact"/>
              <w:rPr>
                <w:rFonts w:hint="eastAsia" w:ascii="宋体" w:hAnsi="宋体" w:eastAsia="宋体"/>
                <w:sz w:val="18"/>
              </w:rPr>
            </w:pPr>
            <w:r>
              <w:rPr>
                <w:rFonts w:hint="eastAsia" w:ascii="宋体" w:hAnsi="宋体" w:eastAsia="宋体"/>
                <w:sz w:val="18"/>
              </w:rPr>
              <w:t>交联型氟树脂涂料HG/T3792-2005</w:t>
            </w:r>
          </w:p>
          <w:p>
            <w:pPr>
              <w:snapToGrid w:val="0"/>
              <w:spacing w:line="320" w:lineRule="exact"/>
              <w:rPr>
                <w:rFonts w:hint="eastAsia" w:ascii="宋体" w:hAnsi="宋体" w:eastAsia="宋体"/>
                <w:sz w:val="18"/>
              </w:rPr>
            </w:pPr>
            <w:r>
              <w:rPr>
                <w:rFonts w:hint="eastAsia" w:ascii="宋体" w:hAnsi="宋体" w:eastAsia="宋体"/>
                <w:sz w:val="18"/>
              </w:rPr>
              <w:t>合成树脂幕墙JG/T205-2007</w:t>
            </w:r>
          </w:p>
          <w:p>
            <w:pPr>
              <w:snapToGrid w:val="0"/>
              <w:spacing w:line="320" w:lineRule="exact"/>
              <w:rPr>
                <w:rFonts w:hint="eastAsia" w:ascii="宋体" w:hAnsi="宋体" w:eastAsia="宋体"/>
                <w:sz w:val="18"/>
              </w:rPr>
            </w:pPr>
            <w:r>
              <w:rPr>
                <w:rFonts w:hint="eastAsia" w:ascii="宋体" w:hAnsi="宋体" w:eastAsia="宋体"/>
                <w:sz w:val="18"/>
              </w:rPr>
              <w:t>GB/T 9266-1988 建筑涂料 涂层耐洗刷性的测定</w:t>
            </w:r>
          </w:p>
          <w:p>
            <w:pPr>
              <w:snapToGrid w:val="0"/>
              <w:spacing w:line="320" w:lineRule="exact"/>
              <w:rPr>
                <w:rFonts w:hint="eastAsia" w:ascii="宋体" w:hAnsi="宋体" w:eastAsia="宋体"/>
                <w:sz w:val="18"/>
              </w:rPr>
            </w:pPr>
            <w:r>
              <w:rPr>
                <w:rFonts w:hint="eastAsia" w:ascii="宋体" w:hAnsi="宋体" w:eastAsia="宋体"/>
                <w:sz w:val="18"/>
              </w:rPr>
              <w:t>GB 3186 涂料产品的取样</w:t>
            </w:r>
          </w:p>
          <w:p>
            <w:pPr>
              <w:snapToGrid w:val="0"/>
              <w:spacing w:line="320" w:lineRule="exact"/>
              <w:rPr>
                <w:rFonts w:hint="eastAsia" w:ascii="宋体" w:hAnsi="宋体" w:eastAsia="宋体"/>
                <w:sz w:val="18"/>
              </w:rPr>
            </w:pPr>
            <w:r>
              <w:rPr>
                <w:rFonts w:hint="eastAsia" w:ascii="宋体" w:hAnsi="宋体" w:eastAsia="宋体"/>
                <w:sz w:val="18"/>
              </w:rPr>
              <w:t>GB/T 1766-1995 色漆和清漆 涂层老化的评级方法</w:t>
            </w:r>
          </w:p>
          <w:p>
            <w:pPr>
              <w:snapToGrid w:val="0"/>
              <w:spacing w:line="320" w:lineRule="exact"/>
              <w:rPr>
                <w:rFonts w:hint="eastAsia" w:ascii="宋体" w:hAns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检验和试验项目及要求(如有型式试验要求,要进行说明)</w:t>
            </w:r>
          </w:p>
        </w:tc>
        <w:tc>
          <w:tcPr>
            <w:tcW w:w="8424" w:type="dxa"/>
            <w:gridSpan w:val="8"/>
            <w:vAlign w:val="center"/>
          </w:tcPr>
          <w:p>
            <w:pPr>
              <w:snapToGrid w:val="0"/>
              <w:spacing w:line="320" w:lineRule="exact"/>
              <w:rPr>
                <w:rFonts w:hint="default" w:ascii="宋体" w:hAnsi="宋体" w:eastAsia="宋体"/>
                <w:sz w:val="18"/>
                <w:lang w:val="en-US" w:eastAsia="zh-CN"/>
              </w:rPr>
            </w:pPr>
            <w:r>
              <w:rPr>
                <w:rFonts w:hint="eastAsia" w:ascii="宋体" w:hAnsi="宋体" w:eastAsia="宋体"/>
                <w:sz w:val="18"/>
                <w:lang w:val="en-US" w:eastAsia="zh-CN"/>
              </w:rPr>
              <w:t>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2249" w:type="dxa"/>
            <w:gridSpan w:val="2"/>
            <w:tcBorders>
              <w:left w:val="single" w:color="auto" w:sz="4" w:space="0"/>
              <w:bottom w:val="single" w:color="auto" w:sz="8" w:space="0"/>
            </w:tcBorders>
            <w:vAlign w:val="center"/>
          </w:tcPr>
          <w:p>
            <w:pPr>
              <w:snapToGrid w:val="0"/>
              <w:spacing w:line="320" w:lineRule="exact"/>
              <w:rPr>
                <w:rFonts w:hint="eastAsia" w:ascii="宋体" w:hAnsi="宋体" w:eastAsia="宋体"/>
                <w:sz w:val="18"/>
              </w:rPr>
            </w:pPr>
            <w:r>
              <w:rPr>
                <w:rFonts w:hint="eastAsia" w:ascii="宋体" w:hAnsi="宋体" w:eastAsia="宋体"/>
                <w:sz w:val="18"/>
              </w:rPr>
              <w:t>其它相关知识</w:t>
            </w:r>
          </w:p>
        </w:tc>
        <w:tc>
          <w:tcPr>
            <w:tcW w:w="8424" w:type="dxa"/>
            <w:gridSpan w:val="8"/>
            <w:tcBorders>
              <w:bottom w:val="single" w:color="auto" w:sz="8" w:space="0"/>
            </w:tcBorders>
            <w:vAlign w:val="center"/>
          </w:tcPr>
          <w:p>
            <w:pPr>
              <w:snapToGrid w:val="0"/>
              <w:spacing w:line="320" w:lineRule="exact"/>
              <w:rPr>
                <w:rFonts w:hint="eastAsia" w:ascii="宋体" w:hAnsi="宋体" w:eastAsia="宋体"/>
                <w:sz w:val="18"/>
                <w:lang w:val="en-US" w:eastAsia="zh-CN"/>
              </w:rPr>
            </w:pPr>
            <w:r>
              <w:rPr>
                <w:rFonts w:hint="eastAsia" w:ascii="宋体" w:hAnsi="宋体" w:eastAsia="宋体"/>
                <w:sz w:val="18"/>
                <w:lang w:val="en-US" w:eastAsia="zh-CN"/>
              </w:rPr>
              <w:t>无</w:t>
            </w:r>
          </w:p>
        </w:tc>
      </w:tr>
    </w:tbl>
    <w:p>
      <w:pPr>
        <w:snapToGrid w:val="0"/>
        <w:spacing w:line="320" w:lineRule="exact"/>
        <w:rPr>
          <w:rFonts w:hint="default" w:ascii="宋体"/>
          <w:b/>
          <w:spacing w:val="-6"/>
          <w:sz w:val="18"/>
          <w:szCs w:val="18"/>
          <w:lang w:val="en-US"/>
        </w:rPr>
      </w:pPr>
      <w:r>
        <w:rPr>
          <w:rFonts w:hint="eastAsia" w:ascii="宋体" w:hAnsi="宋体" w:eastAsia="宋体"/>
          <w:sz w:val="18"/>
        </w:rPr>
        <w:t xml:space="preserve">填表人(专业人员)：  </w:t>
      </w:r>
      <w:r>
        <w:rPr>
          <w:rFonts w:hint="eastAsia" w:ascii="宋体" w:hAnsi="宋体" w:eastAsia="宋体"/>
          <w:sz w:val="18"/>
          <w:lang w:val="en-US" w:eastAsia="zh-CN"/>
        </w:rPr>
        <w:t>李京田</w:t>
      </w:r>
      <w:r>
        <w:rPr>
          <w:rFonts w:hint="eastAsia" w:ascii="宋体" w:hAnsi="宋体" w:eastAsia="宋体"/>
          <w:sz w:val="18"/>
        </w:rPr>
        <w:t xml:space="preserve">  日期： </w:t>
      </w:r>
      <w:r>
        <w:rPr>
          <w:rFonts w:hint="eastAsia" w:ascii="宋体" w:hAnsi="宋体" w:eastAsia="宋体"/>
          <w:sz w:val="18"/>
          <w:lang w:val="en-US" w:eastAsia="zh-CN"/>
        </w:rPr>
        <w:t>2021.8.</w:t>
      </w:r>
      <w:r>
        <w:rPr>
          <w:rFonts w:hint="eastAsia" w:ascii="宋体" w:hAnsi="宋体"/>
          <w:sz w:val="18"/>
          <w:lang w:val="en-US" w:eastAsia="zh-CN"/>
        </w:rPr>
        <w:t>7</w:t>
      </w:r>
      <w:r>
        <w:rPr>
          <w:rFonts w:hint="eastAsia" w:ascii="宋体" w:hAnsi="宋体" w:eastAsia="宋体"/>
          <w:sz w:val="18"/>
        </w:rPr>
        <w:t xml:space="preserve">   </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2021.8.7</w:t>
      </w:r>
      <w:bookmarkStart w:id="6" w:name="_GoBack"/>
      <w:bookmarkEnd w:id="6"/>
    </w:p>
    <w:p>
      <w:pPr>
        <w:snapToGrid w:val="0"/>
        <w:rPr>
          <w:rFonts w:hint="eastAsia"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47BFD"/>
    <w:rsid w:val="09A322BE"/>
    <w:rsid w:val="32856CE4"/>
    <w:rsid w:val="3CCD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4</TotalTime>
  <ScaleCrop>false</ScaleCrop>
  <LinksUpToDate>false</LinksUpToDate>
  <CharactersWithSpaces>312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2021-08-08T15:28:12Z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E6EB14EF008C438AA980C272CE9A480D</vt:lpwstr>
  </property>
</Properties>
</file>