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2"/>
        </w:rPr>
      </w:pPr>
      <w:r>
        <w:rPr>
          <w:rFonts w:hint="eastAsia" w:asciiTheme="majorEastAsia" w:hAnsiTheme="majorEastAsia" w:eastAsiaTheme="majorEastAsia" w:cstheme="majorEastAsia"/>
          <w:sz w:val="32"/>
        </w:rPr>
        <w:t>观 察 项（建议项） 报 告</w:t>
      </w:r>
    </w:p>
    <w:tbl>
      <w:tblPr>
        <w:tblStyle w:val="5"/>
        <w:tblW w:w="992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00"/>
        <w:gridCol w:w="943"/>
        <w:gridCol w:w="6047"/>
        <w:gridCol w:w="203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pPr>
              <w:rPr>
                <w:b/>
                <w:szCs w:val="21"/>
              </w:rPr>
            </w:pPr>
            <w:r>
              <w:rPr>
                <w:rFonts w:hint="eastAsia" w:ascii="方正仿宋简体" w:eastAsia="方正仿宋简体"/>
                <w:b/>
              </w:rPr>
              <w:t>受审核方</w:t>
            </w:r>
          </w:p>
        </w:tc>
        <w:tc>
          <w:tcPr>
            <w:tcW w:w="8080" w:type="dxa"/>
            <w:gridSpan w:val="2"/>
            <w:tcBorders>
              <w:left w:val="single" w:color="auto" w:sz="4" w:space="0"/>
            </w:tcBorders>
          </w:tcPr>
          <w:p>
            <w:pPr>
              <w:spacing w:before="120" w:line="360" w:lineRule="auto"/>
              <w:rPr>
                <w:b/>
                <w:szCs w:val="21"/>
              </w:rPr>
            </w:pPr>
            <w:bookmarkStart w:id="0" w:name="组织名称"/>
            <w:r>
              <w:rPr>
                <w:b/>
                <w:szCs w:val="21"/>
              </w:rPr>
              <w:t>河北雄安京宏检测认证有限公司</w:t>
            </w:r>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43" w:type="dxa"/>
            <w:gridSpan w:val="2"/>
            <w:tcBorders>
              <w:right w:val="single" w:color="auto" w:sz="4" w:space="0"/>
            </w:tcBorders>
            <w:vAlign w:val="center"/>
          </w:tcPr>
          <w:p>
            <w:r>
              <w:rPr>
                <w:rFonts w:hint="eastAsia" w:ascii="方正仿宋简体" w:eastAsia="方正仿宋简体"/>
                <w:b/>
              </w:rPr>
              <w:t>审核领域及类型</w:t>
            </w:r>
          </w:p>
        </w:tc>
        <w:tc>
          <w:tcPr>
            <w:tcW w:w="8080" w:type="dxa"/>
            <w:gridSpan w:val="2"/>
            <w:tcBorders>
              <w:left w:val="single" w:color="auto" w:sz="4" w:space="0"/>
            </w:tcBorders>
            <w:vAlign w:val="center"/>
          </w:tcPr>
          <w:p>
            <w:pPr>
              <w:spacing w:line="360" w:lineRule="auto"/>
              <w:rPr>
                <w:rFonts w:ascii="Arial" w:hAnsi="Arial" w:eastAsia="Arial Unicode MS" w:cs="Arial"/>
                <w:b/>
                <w:sz w:val="30"/>
                <w:szCs w:val="30"/>
              </w:rPr>
            </w:pPr>
            <w:bookmarkStart w:id="1" w:name="Q勾选"/>
            <w:r>
              <w:rPr>
                <w:rFonts w:hint="eastAsia"/>
                <w:b/>
                <w:szCs w:val="21"/>
              </w:rPr>
              <w:t>■</w:t>
            </w:r>
            <w:bookmarkEnd w:id="1"/>
            <w:r>
              <w:rPr>
                <w:b/>
                <w:spacing w:val="-2"/>
                <w:szCs w:val="21"/>
              </w:rPr>
              <w:t>QMS</w:t>
            </w:r>
            <w:bookmarkStart w:id="2" w:name="QJ勾选"/>
            <w:r>
              <w:rPr>
                <w:rFonts w:hint="eastAsia"/>
                <w:b/>
                <w:szCs w:val="21"/>
              </w:rPr>
              <w:t>□</w:t>
            </w:r>
            <w:bookmarkEnd w:id="2"/>
            <w:r>
              <w:rPr>
                <w:rFonts w:hint="eastAsia"/>
                <w:b/>
                <w:spacing w:val="-2"/>
                <w:szCs w:val="21"/>
              </w:rPr>
              <w:t>5</w:t>
            </w:r>
            <w:r>
              <w:rPr>
                <w:b/>
                <w:spacing w:val="-2"/>
                <w:szCs w:val="21"/>
              </w:rPr>
              <w:t>0430</w:t>
            </w:r>
            <w:bookmarkStart w:id="3" w:name="E勾选"/>
            <w:r>
              <w:rPr>
                <w:rFonts w:hint="eastAsia"/>
                <w:b/>
                <w:szCs w:val="21"/>
              </w:rPr>
              <w:t>■</w:t>
            </w:r>
            <w:bookmarkEnd w:id="3"/>
            <w:r>
              <w:rPr>
                <w:b/>
                <w:spacing w:val="-2"/>
                <w:szCs w:val="21"/>
              </w:rPr>
              <w:t>EMS</w:t>
            </w:r>
            <w:bookmarkStart w:id="4" w:name="S勾选"/>
            <w:r>
              <w:rPr>
                <w:rFonts w:hint="eastAsia"/>
                <w:b/>
                <w:szCs w:val="21"/>
              </w:rPr>
              <w:t>■</w:t>
            </w:r>
            <w:bookmarkEnd w:id="4"/>
            <w:r>
              <w:rPr>
                <w:b/>
                <w:spacing w:val="-2"/>
                <w:szCs w:val="21"/>
              </w:rPr>
              <w:t>OHSMS</w:t>
            </w:r>
            <w:bookmarkStart w:id="5" w:name="EnMS勾选"/>
            <w:r>
              <w:rPr>
                <w:rFonts w:hint="eastAsia"/>
                <w:b/>
                <w:szCs w:val="21"/>
              </w:rPr>
              <w:t>□</w:t>
            </w:r>
            <w:bookmarkEnd w:id="5"/>
            <w:r>
              <w:rPr>
                <w:b/>
                <w:spacing w:val="-2"/>
                <w:szCs w:val="21"/>
              </w:rPr>
              <w:t>E</w:t>
            </w:r>
            <w:r>
              <w:rPr>
                <w:rFonts w:hint="eastAsia"/>
                <w:b/>
                <w:spacing w:val="-2"/>
                <w:szCs w:val="21"/>
                <w:lang w:val="en-US" w:eastAsia="zh-CN"/>
              </w:rPr>
              <w:t>n</w:t>
            </w:r>
            <w:r>
              <w:rPr>
                <w:b/>
                <w:spacing w:val="-2"/>
                <w:szCs w:val="21"/>
              </w:rPr>
              <w:t>MS</w:t>
            </w:r>
            <w:bookmarkStart w:id="6" w:name="F勾选"/>
            <w:r>
              <w:rPr>
                <w:rFonts w:hint="eastAsia" w:cs="宋体"/>
                <w:b/>
                <w:szCs w:val="21"/>
              </w:rPr>
              <w:t>□</w:t>
            </w:r>
            <w:bookmarkEnd w:id="6"/>
            <w:r>
              <w:rPr>
                <w:rFonts w:hint="eastAsia" w:ascii="宋体" w:hAnsi="宋体"/>
                <w:szCs w:val="21"/>
              </w:rPr>
              <w:t xml:space="preserve">FSMS </w:t>
            </w:r>
            <w:bookmarkStart w:id="7" w:name="H勾选"/>
            <w:r>
              <w:rPr>
                <w:rFonts w:hint="eastAsia" w:cs="宋体"/>
                <w:b/>
                <w:szCs w:val="21"/>
              </w:rPr>
              <w:t>□</w:t>
            </w:r>
            <w:bookmarkEnd w:id="7"/>
            <w:r>
              <w:rPr>
                <w:rFonts w:hint="eastAsia" w:ascii="宋体" w:hAnsi="宋体"/>
                <w:szCs w:val="21"/>
              </w:rPr>
              <w:t>HACCP</w:t>
            </w:r>
          </w:p>
          <w:p>
            <w:bookmarkStart w:id="8" w:name="初审"/>
            <w:r>
              <w:rPr>
                <w:rFonts w:hint="eastAsia"/>
                <w:b/>
                <w:szCs w:val="21"/>
              </w:rPr>
              <w:t>□</w:t>
            </w:r>
            <w:bookmarkEnd w:id="8"/>
            <w:r>
              <w:rPr>
                <w:rFonts w:hint="eastAsia"/>
                <w:b/>
                <w:szCs w:val="21"/>
              </w:rPr>
              <w:t>初审</w:t>
            </w:r>
            <w:r>
              <w:rPr>
                <w:rFonts w:hint="eastAsia"/>
                <w:b/>
                <w:szCs w:val="21"/>
                <w:highlight w:val="none"/>
              </w:rPr>
              <w:t>□第(  )阶段审核</w:t>
            </w:r>
            <w:bookmarkStart w:id="9" w:name="再认证勾选"/>
            <w:r>
              <w:rPr>
                <w:rFonts w:hint="eastAsia"/>
                <w:b/>
                <w:szCs w:val="21"/>
              </w:rPr>
              <w:t>□</w:t>
            </w:r>
            <w:bookmarkEnd w:id="9"/>
            <w:r>
              <w:rPr>
                <w:rFonts w:hint="eastAsia"/>
                <w:b/>
                <w:szCs w:val="21"/>
              </w:rPr>
              <w:t>再认证</w:t>
            </w:r>
            <w:bookmarkStart w:id="10" w:name="监督勾选"/>
            <w:r>
              <w:rPr>
                <w:rFonts w:hint="eastAsia"/>
                <w:b/>
                <w:szCs w:val="21"/>
              </w:rPr>
              <w:t>■</w:t>
            </w:r>
            <w:bookmarkEnd w:id="10"/>
            <w:r>
              <w:rPr>
                <w:rFonts w:hint="eastAsia"/>
                <w:b/>
                <w:szCs w:val="21"/>
              </w:rPr>
              <w:t>监督（</w:t>
            </w:r>
            <w:bookmarkStart w:id="11" w:name="监督次数"/>
            <w:r>
              <w:rPr>
                <w:rFonts w:hint="eastAsia"/>
                <w:b/>
                <w:szCs w:val="21"/>
              </w:rPr>
              <w:t>一</w:t>
            </w:r>
            <w:bookmarkEnd w:id="11"/>
            <w:r>
              <w:rPr>
                <w:rFonts w:hint="eastAsia"/>
                <w:b/>
                <w:szCs w:val="21"/>
              </w:rPr>
              <w:t>）次□证书转换</w:t>
            </w:r>
            <w:bookmarkStart w:id="12" w:name="特殊审核勾选"/>
            <w:r>
              <w:rPr>
                <w:rFonts w:hint="eastAsia"/>
                <w:b/>
                <w:szCs w:val="21"/>
              </w:rPr>
              <w:t>□</w:t>
            </w:r>
            <w:bookmarkEnd w:id="12"/>
            <w:r>
              <w:rPr>
                <w:rFonts w:hint="eastAsia"/>
                <w:b/>
                <w:szCs w:val="21"/>
              </w:rPr>
              <w:t>特殊审核□其他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序号</w:t>
            </w:r>
          </w:p>
        </w:tc>
        <w:tc>
          <w:tcPr>
            <w:tcW w:w="6990" w:type="dxa"/>
            <w:gridSpan w:val="2"/>
            <w:tcBorders>
              <w:left w:val="single" w:color="auto" w:sz="4" w:space="0"/>
              <w:righ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观察项（建议项）描述</w:t>
            </w:r>
          </w:p>
        </w:tc>
        <w:tc>
          <w:tcPr>
            <w:tcW w:w="2033" w:type="dxa"/>
            <w:tcBorders>
              <w:left w:val="single" w:color="auto" w:sz="4" w:space="0"/>
            </w:tcBorders>
            <w:vAlign w:val="center"/>
          </w:tcPr>
          <w:p>
            <w:pPr>
              <w:jc w:val="center"/>
              <w:rPr>
                <w:rFonts w:ascii="方正仿宋简体" w:eastAsia="方正仿宋简体"/>
                <w:b/>
                <w:szCs w:val="21"/>
              </w:rPr>
            </w:pPr>
            <w:r>
              <w:rPr>
                <w:rFonts w:hint="eastAsia" w:ascii="方正仿宋简体" w:eastAsia="方正仿宋简体"/>
                <w:b/>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2" w:hRule="exact"/>
          <w:jc w:val="center"/>
        </w:trPr>
        <w:tc>
          <w:tcPr>
            <w:tcW w:w="900" w:type="dxa"/>
            <w:tcBorders>
              <w:right w:val="single" w:color="auto" w:sz="4" w:space="0"/>
            </w:tcBorders>
            <w:vAlign w:val="center"/>
          </w:tcPr>
          <w:p>
            <w:pPr>
              <w:jc w:val="center"/>
              <w:rPr>
                <w:rFonts w:ascii="方正仿宋简体" w:eastAsia="方正仿宋简体"/>
                <w:b/>
              </w:rPr>
            </w:pPr>
          </w:p>
        </w:tc>
        <w:tc>
          <w:tcPr>
            <w:tcW w:w="6990" w:type="dxa"/>
            <w:gridSpan w:val="2"/>
            <w:tcBorders>
              <w:left w:val="single" w:color="auto" w:sz="4" w:space="0"/>
              <w:right w:val="single" w:color="auto" w:sz="4" w:space="0"/>
            </w:tcBorders>
            <w:vAlign w:val="center"/>
          </w:tcPr>
          <w:p>
            <w:pPr>
              <w:jc w:val="left"/>
              <w:rPr>
                <w:rFonts w:hint="default" w:ascii="方正仿宋简体" w:eastAsia="方正仿宋简体"/>
                <w:b/>
                <w:lang w:val="en-US" w:eastAsia="zh-CN"/>
              </w:rPr>
            </w:pPr>
            <w:r>
              <w:rPr>
                <w:rFonts w:hint="eastAsia" w:ascii="宋体" w:hAnsi="宋体" w:cs="宋体"/>
                <w:b w:val="0"/>
                <w:bCs w:val="0"/>
                <w:color w:val="000000"/>
                <w:szCs w:val="21"/>
                <w:highlight w:val="none"/>
                <w:lang w:val="en-US" w:eastAsia="zh-CN"/>
              </w:rPr>
              <w:t>提供的法律法规清单中《</w:t>
            </w:r>
            <w:r>
              <w:rPr>
                <w:rFonts w:hint="eastAsia" w:ascii="宋体" w:hAnsi="宋体" w:cs="宋体"/>
                <w:b w:val="0"/>
                <w:bCs w:val="0"/>
                <w:color w:val="000000"/>
                <w:szCs w:val="21"/>
                <w:highlight w:val="none"/>
              </w:rPr>
              <w:t>中华人民共和国固体废物污染环境防治法</w:t>
            </w:r>
            <w:r>
              <w:rPr>
                <w:rFonts w:hint="eastAsia" w:ascii="宋体" w:hAnsi="宋体" w:cs="宋体"/>
                <w:b w:val="0"/>
                <w:bCs w:val="0"/>
                <w:color w:val="000000"/>
                <w:szCs w:val="21"/>
                <w:highlight w:val="none"/>
                <w:lang w:val="en-US" w:eastAsia="zh-CN"/>
              </w:rPr>
              <w:t>》</w:t>
            </w:r>
            <w:r>
              <w:rPr>
                <w:rFonts w:hint="eastAsia" w:ascii="方正仿宋简体" w:eastAsia="方正仿宋简体"/>
                <w:b w:val="0"/>
                <w:bCs w:val="0"/>
                <w:highlight w:val="none"/>
                <w:lang w:val="en-US" w:eastAsia="zh-CN"/>
              </w:rPr>
              <w:t xml:space="preserve"> 为2016版，未及时更新</w:t>
            </w:r>
          </w:p>
        </w:tc>
        <w:tc>
          <w:tcPr>
            <w:tcW w:w="2033" w:type="dxa"/>
            <w:tcBorders>
              <w:left w:val="single" w:color="auto" w:sz="4" w:space="0"/>
            </w:tcBorders>
            <w:vAlign w:val="center"/>
          </w:tcPr>
          <w:p>
            <w:pPr>
              <w:jc w:val="center"/>
              <w:rPr>
                <w:rFonts w:ascii="方正仿宋简体" w:eastAsia="方正仿宋简体"/>
                <w:b/>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8"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pPr>
              <w:rPr>
                <w:rFonts w:hint="default" w:eastAsia="宋体"/>
                <w:lang w:val="en-US" w:eastAsia="zh-CN"/>
              </w:rPr>
            </w:pPr>
            <w:r>
              <w:rPr>
                <w:rFonts w:hint="eastAsia"/>
                <w:lang w:val="en-US" w:eastAsia="zh-CN"/>
              </w:rPr>
              <w:t>重要环境因素清单与环境因素识别的内容不一致；不可接受风险清单与</w:t>
            </w:r>
            <w:r>
              <w:rPr>
                <w:rFonts w:hint="eastAsia"/>
                <w:lang w:val="zh-CN" w:eastAsia="zh-CN"/>
              </w:rPr>
              <w:t>危险源辨识和风险评价记录</w:t>
            </w:r>
            <w:r>
              <w:rPr>
                <w:rFonts w:hint="eastAsia"/>
                <w:lang w:val="en-US" w:eastAsia="zh-CN"/>
              </w:rPr>
              <w:t>识别的重要风险不一致</w:t>
            </w: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pPr>
              <w:rPr>
                <w:rFonts w:hint="default"/>
                <w:lang w:val="en-US"/>
              </w:rPr>
            </w:pPr>
            <w:r>
              <w:rPr>
                <w:rFonts w:hint="eastAsia"/>
                <w:lang w:val="en-US" w:eastAsia="zh-CN"/>
              </w:rPr>
              <w:t>现场光谱室原子吸收光谱设备通风系统在设备关闭情况仍处于开的状态</w:t>
            </w: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pPr>
              <w:rPr>
                <w:rFonts w:hint="default" w:eastAsia="宋体"/>
                <w:lang w:val="en-US" w:eastAsia="zh-CN"/>
              </w:rPr>
            </w:pPr>
            <w:bookmarkStart w:id="13" w:name="_GoBack"/>
            <w:bookmarkEnd w:id="13"/>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exact"/>
          <w:jc w:val="center"/>
        </w:trPr>
        <w:tc>
          <w:tcPr>
            <w:tcW w:w="900" w:type="dxa"/>
            <w:tcBorders>
              <w:right w:val="single" w:color="auto" w:sz="4" w:space="0"/>
            </w:tcBorders>
            <w:vAlign w:val="center"/>
          </w:tcPr>
          <w:p/>
        </w:tc>
        <w:tc>
          <w:tcPr>
            <w:tcW w:w="6990" w:type="dxa"/>
            <w:gridSpan w:val="2"/>
            <w:tcBorders>
              <w:left w:val="single" w:color="auto" w:sz="4" w:space="0"/>
              <w:right w:val="single" w:color="auto" w:sz="4" w:space="0"/>
            </w:tcBorders>
            <w:vAlign w:val="center"/>
          </w:tcPr>
          <w:p/>
        </w:tc>
        <w:tc>
          <w:tcPr>
            <w:tcW w:w="2033" w:type="dxa"/>
            <w:tcBorders>
              <w:left w:val="single" w:color="auto" w:sz="4" w:space="0"/>
            </w:tcBorders>
            <w:vAlign w:val="center"/>
          </w:tcPr>
          <w:p/>
        </w:tc>
      </w:tr>
    </w:tbl>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sz w:val="18"/>
      </w:rPr>
    </w:pPr>
    <w:r>
      <w:pict>
        <v:shape id="_x0000_s2049" o:spid="_x0000_s2049" o:spt="202" type="#_x0000_t202" style="position:absolute;left:0pt;margin-left:394pt;margin-top:11.35pt;height:19.9pt;width:95.75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ISC-B-II-18(05版）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3"/>
      <w:pBdr>
        <w:bottom w:val="single" w:color="auto" w:sz="4" w:space="1"/>
      </w:pBdr>
      <w:spacing w:line="320" w:lineRule="exact"/>
      <w:ind w:firstLine="648" w:firstLineChars="400"/>
      <w:jc w:val="left"/>
    </w:pPr>
    <w:r>
      <w:rPr>
        <w:rStyle w:val="9"/>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5950C6"/>
    <w:rsid w:val="214B3767"/>
    <w:rsid w:val="39A01BE6"/>
    <w:rsid w:val="616C4F25"/>
    <w:rsid w:val="69964B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qFormat/>
    <w:uiPriority w:val="99"/>
    <w:rPr>
      <w:rFonts w:ascii="Times New Roman" w:hAnsi="Times New Roman" w:eastAsia="宋体" w:cs="Times New Roman"/>
      <w:kern w:val="2"/>
      <w:sz w:val="18"/>
      <w:szCs w:val="18"/>
    </w:rPr>
  </w:style>
  <w:style w:type="character" w:customStyle="1" w:styleId="8">
    <w:name w:val="页脚 Char"/>
    <w:basedOn w:val="6"/>
    <w:link w:val="2"/>
    <w:qFormat/>
    <w:uiPriority w:val="99"/>
    <w:rPr>
      <w:rFonts w:ascii="Times New Roman" w:hAnsi="Times New Roman" w:eastAsia="宋体" w:cs="Times New Roman"/>
      <w:kern w:val="2"/>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28</Words>
  <Characters>160</Characters>
  <Lines>1</Lines>
  <Paragraphs>1</Paragraphs>
  <TotalTime>1</TotalTime>
  <ScaleCrop>false</ScaleCrop>
  <LinksUpToDate>false</LinksUpToDate>
  <CharactersWithSpaces>187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2016-08-11T01:15:00Z</dcterms:created>
  <dc:creator>User</dc:creator>
  <cp:lastModifiedBy>丽英</cp:lastModifiedBy>
  <dcterms:modified xsi:type="dcterms:W3CDTF">2021-08-13T07:18:40Z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B8CDE6F3868D4BD896C807BDC0ACB969</vt:lpwstr>
  </property>
  <property fmtid="{D5CDD505-2E9C-101B-9397-08002B2CF9AE}" pid="3" name="KSOProductBuildVer">
    <vt:lpwstr>2052-11.1.0.10314</vt:lpwstr>
  </property>
</Properties>
</file>