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0051-2017-2021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大庆市晟威机械制造有限公司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53022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0-2000mm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U=0.02K=2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296"/>
              </w:tabs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ab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F22074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量块20块0.5μm+5*10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K=2.58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627341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HBX-0.5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l=1.5%K=2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标准布氏硬度块U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l=1.4%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2020.8.25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1212155558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l=0.8%K=2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便携式压力校验仪0.02级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HC64571825939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l=0.6%K=2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便携式压力校验仪0.02级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HT152393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10-18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U=5μmK=2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光栅式指示表检定仪U=1μmK=2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负责溯源。公司测量设备除自检外全部委托等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中国航发南方工业有限公司计量实验室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机构检定/校准，校准/检定证书由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538480" cy="357505"/>
                  <wp:effectExtent l="0" t="0" r="7620" b="10795"/>
                  <wp:docPr id="18" name="图片 18" descr="161111ce83c16843cc127ab6a2201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61111ce83c16843cc127ab6a22015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9361" t="68628" r="75590" b="25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F608E1"/>
    <w:rsid w:val="1E1822F0"/>
    <w:rsid w:val="36870F61"/>
    <w:rsid w:val="38B47A73"/>
    <w:rsid w:val="52074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2021-07-31T08:03:08Z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18EEE979F7EE4463BB58254B16F5A512</vt:lpwstr>
  </property>
</Properties>
</file>