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0052-2017-2021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龙沃科技开发有限公司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LWLS01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XDF-002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TH110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±0.8</w:t>
            </w:r>
            <w:r>
              <w:t>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标准里氏硬度块 均匀度5HLD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LWLS02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LWLS06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LWLS08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541655" cy="248285"/>
                  <wp:effectExtent l="0" t="0" r="4445" b="5715"/>
                  <wp:docPr id="16" name="图片 16" descr="2bdb430f73b28b754cf36538865f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2bdb430f73b28b754cf36538865f85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0636" t="57988" r="70119" b="370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605D31"/>
    <w:rsid w:val="2DCC4617"/>
    <w:rsid w:val="63724F32"/>
    <w:rsid w:val="6C9A39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2021-07-30T07:13:02Z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993FCAE536FD4030B35807BA4DC06AB4</vt:lpwstr>
  </property>
</Properties>
</file>