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江苏海威塑业科技有限公司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0098-2017-2019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0098-2017-2019</w:t>
      </w:r>
      <w:bookmarkEnd w:id="3"/>
    </w:p>
    <w:p>
      <w:pPr>
        <w:widowControl/>
        <w:spacing w:line="24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24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48"/>
        <w:gridCol w:w="1770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江苏海威塑业科技有限公司</w:t>
            </w:r>
            <w:bookmarkEnd w:id="4"/>
          </w:p>
        </w:tc>
        <w:tc>
          <w:tcPr>
            <w:tcW w:w="17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姚青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ascii="宋体" w:hAnsi="宋体"/>
              </w:rPr>
              <w:t>ISC-2017-00</w:t>
            </w:r>
            <w:r>
              <w:rPr>
                <w:rFonts w:hint="eastAsia" w:ascii="宋体" w:hAnsi="宋体"/>
              </w:rPr>
              <w:t>96</w:t>
            </w:r>
          </w:p>
        </w:tc>
        <w:tc>
          <w:tcPr>
            <w:tcW w:w="17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ascii="宋体" w:hAnsi="宋体"/>
              </w:rPr>
              <w:t>2022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次</w:t>
            </w:r>
          </w:p>
        </w:tc>
        <w:tc>
          <w:tcPr>
            <w:tcW w:w="17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2019年11月13日 下午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王常宁</w:t>
            </w:r>
            <w:r>
              <w:rPr>
                <w:rFonts w:ascii="宋体" w:hAnsi="宋体"/>
                <w:sz w:val="21"/>
                <w:szCs w:val="21"/>
              </w:rPr>
              <w:t xml:space="preserve">  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汪宁艺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ISC[S]0297</w:t>
            </w:r>
          </w:p>
        </w:tc>
        <w:tc>
          <w:tcPr>
            <w:tcW w:w="177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质检部、销售部、采购部、行政人事部、生技部(生产车间)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，企业得以快速发展，</w:t>
      </w:r>
      <w:r>
        <w:rPr>
          <w:rFonts w:hint="eastAsia" w:ascii="宋体" w:hAnsi="宋体"/>
          <w:szCs w:val="21"/>
          <w:lang w:val="en-US" w:eastAsia="zh-CN"/>
        </w:rPr>
        <w:t>正在筹备CNAS检测试验室认证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江苏海威塑业科技有限公司现场审核中，审核组抽样检查了涉及公司测量体系内的管理、生产、经营、质量和安全等方面的5个职能部门。重点核查环节有：原材料进厂检测、产品质量性能检验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工作情况。江苏海威塑业科技有限公司测量管理体系的符合性、有效性及持续改进，符合GB/T 19022-2003标准要求，公司测量管理体系正常有序运行，较好地满足了公司生产、安全和持续发展的需要。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内部审核和管理评审的情况：</w:t>
      </w:r>
    </w:p>
    <w:p>
      <w:pPr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3.1公司的测量体系内审：</w:t>
      </w:r>
    </w:p>
    <w:p>
      <w:pPr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201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年10月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kern w:val="0"/>
          <w:szCs w:val="21"/>
        </w:rPr>
        <w:t>日，组织了公司测量管理体系内部审核，陈浩峰经理任组长参与审核。内审组对公司包括管理层在内的5个职能部门和生产车间进行了全要素的审核。内部审核发现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个不符合项，制定了相关的预防纠正措施，并在规定时间内，完成整改工作，不符合项已关闭。</w:t>
      </w:r>
    </w:p>
    <w:p>
      <w:pPr>
        <w:widowControl/>
        <w:spacing w:line="24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hint="eastAsia" w:ascii="宋体" w:hAnsi="宋体" w:cs="宋体"/>
          <w:bCs/>
          <w:kern w:val="0"/>
          <w:szCs w:val="21"/>
        </w:rPr>
        <w:t>、公司的测量体系管理评审：</w:t>
      </w:r>
    </w:p>
    <w:p>
      <w:pPr>
        <w:widowControl/>
        <w:spacing w:line="240" w:lineRule="auto"/>
        <w:ind w:firstLine="420" w:firstLineChars="200"/>
        <w:rPr>
          <w:rFonts w:ascii="宋体" w:cs="宋体"/>
          <w:bCs/>
          <w:kern w:val="0"/>
          <w:szCs w:val="21"/>
        </w:rPr>
      </w:pPr>
      <w:r>
        <w:rPr>
          <w:rFonts w:hint="eastAsia" w:ascii="宋体" w:hAnsi="宋体"/>
          <w:szCs w:val="21"/>
        </w:rPr>
        <w:t>公司于</w:t>
      </w: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年10月30日，开展了测量体系管理评审，会议由公司副总沈东主持，总经理卫海洋</w:t>
      </w:r>
      <w:r>
        <w:rPr>
          <w:rFonts w:hint="eastAsia" w:ascii="宋体" w:hAnsi="宋体" w:cs="宋体"/>
          <w:bCs/>
          <w:kern w:val="0"/>
          <w:szCs w:val="21"/>
        </w:rPr>
        <w:t>参加会议。管评会上肯定了公司测量管理体系的充分性、有效性和适宜性。形成了管理评审报告。对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上次管评中提出的</w:t>
      </w:r>
      <w:r>
        <w:rPr>
          <w:rFonts w:hint="eastAsia" w:ascii="宋体" w:hAnsi="宋体" w:cs="宋体"/>
          <w:bCs/>
          <w:kern w:val="0"/>
          <w:szCs w:val="21"/>
        </w:rPr>
        <w:t>公司测量管理体系中存在的</w:t>
      </w:r>
      <w:r>
        <w:rPr>
          <w:rFonts w:hint="eastAsia" w:ascii="宋体" w:hAnsi="宋体"/>
          <w:szCs w:val="21"/>
        </w:rPr>
        <w:t>计量器具的管理上的薄弱环节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和</w:t>
      </w:r>
      <w:r>
        <w:rPr>
          <w:rFonts w:hint="eastAsia" w:ascii="宋体" w:hAnsi="宋体" w:cs="宋体"/>
          <w:bCs/>
          <w:kern w:val="0"/>
          <w:szCs w:val="21"/>
        </w:rPr>
        <w:t>相关人员变动较大，做好人员培训工作和规范管理等问题，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完成了</w:t>
      </w:r>
      <w:r>
        <w:rPr>
          <w:rFonts w:hint="eastAsia" w:ascii="宋体" w:hAnsi="宋体" w:cs="宋体"/>
          <w:bCs/>
          <w:kern w:val="0"/>
          <w:szCs w:val="21"/>
        </w:rPr>
        <w:t>落实整改。管理评审结论为：公司测量管理体系基本有效运行，符合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目前测量设备管理有较大提高，台账等重新编制；质检部增加了专业技术人员，使质检部检测技术能力有较大的提高</w:t>
      </w:r>
      <w:r>
        <w:rPr>
          <w:rFonts w:hint="eastAsia" w:ascii="宋体" w:hAnsi="宋体" w:cs="宋体"/>
          <w:bCs/>
          <w:kern w:val="0"/>
          <w:szCs w:val="21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</w:t>
      </w:r>
      <w:r>
        <w:rPr>
          <w:rFonts w:hint="eastAsia" w:ascii="宋体" w:hAnsi="宋体" w:cs="宋体"/>
          <w:bCs/>
          <w:kern w:val="0"/>
          <w:szCs w:val="21"/>
        </w:rPr>
        <w:t>新增关键测量过程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“</w:t>
      </w:r>
      <w:r>
        <w:rPr>
          <w:rFonts w:hint="eastAsia" w:ascii="Times New Roman" w:hAnsi="Times New Roman"/>
        </w:rPr>
        <w:t>管材壁厚检验</w:t>
      </w:r>
      <w:r>
        <w:rPr>
          <w:rFonts w:hint="eastAsia"/>
        </w:rPr>
        <w:t>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”</w:t>
      </w:r>
      <w:r>
        <w:rPr>
          <w:rFonts w:hint="eastAsia" w:ascii="宋体" w:hAnsi="宋体" w:cs="宋体"/>
          <w:bCs/>
          <w:kern w:val="0"/>
          <w:szCs w:val="21"/>
        </w:rPr>
        <w:t>，查看了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kern w:val="0"/>
          <w:szCs w:val="21"/>
        </w:rPr>
        <w:t>有的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2个</w:t>
      </w:r>
      <w:r>
        <w:rPr>
          <w:rFonts w:hint="eastAsia" w:ascii="宋体" w:hAnsi="宋体" w:cs="宋体"/>
          <w:bCs/>
          <w:kern w:val="0"/>
          <w:szCs w:val="21"/>
        </w:rPr>
        <w:t>关键测量过程“生产配料测量过程控制”“断裂拉伸率测量过程控制”</w:t>
      </w:r>
      <w:r>
        <w:rPr>
          <w:rFonts w:hint="eastAsia" w:asciiTheme="minorEastAsia" w:hAnsiTheme="minorEastAsia"/>
          <w:bCs/>
          <w:szCs w:val="21"/>
          <w:lang w:eastAsia="zh-CN"/>
        </w:rPr>
        <w:t>，目前共有</w:t>
      </w:r>
      <w:r>
        <w:rPr>
          <w:rFonts w:hint="eastAsia" w:ascii="宋体" w:hAnsi="宋体"/>
          <w:szCs w:val="21"/>
          <w:lang w:val="en-US" w:eastAsia="zh-CN"/>
        </w:rPr>
        <w:t>3个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。对已识别的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14个测量过程，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Times New Roman" w:hAnsi="Times New Roman"/>
        </w:rPr>
        <w:t>管材壁厚检验</w:t>
      </w:r>
      <w:r>
        <w:rPr>
          <w:rFonts w:hint="eastAsia"/>
          <w:lang w:eastAsia="zh-CN"/>
        </w:rPr>
        <w:t>测量不确定度评定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</w:rPr>
        <w:t>公司对上年度审核中的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</w:rPr>
        <w:t>个不符合项进行了整改，及时制定整改计划，采取了如下纠正措施：1.已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对</w:t>
      </w:r>
      <w:r>
        <w:rPr>
          <w:rFonts w:hint="eastAsia" w:ascii="宋体" w:hAnsi="宋体" w:cs="宋体"/>
          <w:bCs/>
          <w:kern w:val="0"/>
          <w:szCs w:val="21"/>
        </w:rPr>
        <w:t>数显卡尺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补</w:t>
      </w:r>
      <w:r>
        <w:rPr>
          <w:rFonts w:hint="eastAsia" w:ascii="宋体" w:hAnsi="宋体" w:cs="宋体"/>
          <w:bCs/>
          <w:kern w:val="0"/>
          <w:szCs w:val="21"/>
        </w:rPr>
        <w:t>贴计量确认合格标识；2.已将电子台秤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检定，检定证书编号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18187809，检定日期2018年12月19日</w:t>
      </w:r>
      <w:r>
        <w:rPr>
          <w:rFonts w:hint="eastAsia" w:ascii="宋体" w:hAnsi="宋体" w:cs="宋体"/>
          <w:bCs/>
          <w:kern w:val="0"/>
          <w:szCs w:val="21"/>
        </w:rPr>
        <w:t>。经本次现场审核，审核组通过对整改完成情况及纠正措施有效性进行现场查验，确认公司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对</w:t>
      </w:r>
      <w:r>
        <w:rPr>
          <w:rFonts w:hint="eastAsia" w:ascii="宋体" w:hAnsi="宋体" w:cs="宋体"/>
          <w:bCs/>
          <w:kern w:val="0"/>
          <w:szCs w:val="21"/>
        </w:rPr>
        <w:t>外部审核中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发现</w:t>
      </w:r>
      <w:r>
        <w:rPr>
          <w:rFonts w:hint="eastAsia" w:ascii="宋体" w:hAnsi="宋体" w:cs="宋体"/>
          <w:bCs/>
          <w:kern w:val="0"/>
          <w:szCs w:val="21"/>
        </w:rPr>
        <w:t>的2个不符合项，所采取的纠正措施有效，整改完成，同意关闭不符合项。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本次监督审核没有提出不符合项。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ind w:firstLine="315" w:firstLineChars="15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6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项质量目标，</w:t>
      </w:r>
      <w:r>
        <w:rPr>
          <w:rFonts w:hint="eastAsia" w:ascii="宋体" w:hAnsi="宋体" w:cs="宋体"/>
          <w:bCs/>
          <w:kern w:val="0"/>
          <w:szCs w:val="21"/>
        </w:rPr>
        <w:t>内容基本覆盖标准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要素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和</w:t>
      </w:r>
      <w:r>
        <w:rPr>
          <w:rFonts w:hint="eastAsia" w:asciiTheme="minorEastAsia" w:hAnsiTheme="minorEastAsia"/>
          <w:bCs/>
          <w:color w:val="auto"/>
          <w:szCs w:val="21"/>
        </w:rPr>
        <w:t>客户目标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/>
          <w:bCs/>
          <w:szCs w:val="21"/>
        </w:rPr>
        <w:t>公司领导层重视测量管理体系各项工作，在管评中对公司201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10月至2019年10月</w:t>
      </w:r>
      <w:r>
        <w:rPr>
          <w:rFonts w:hint="eastAsia" w:ascii="宋体" w:hAnsi="宋体"/>
          <w:bCs/>
          <w:szCs w:val="21"/>
        </w:rPr>
        <w:t>质量目标完成情况做了总结，认为：公司计量工作质量目标可行性达成及测量管理体系的运行是有效的，公司每年对目标的完成情况进行汇总考核。</w:t>
      </w:r>
    </w:p>
    <w:p>
      <w:pPr>
        <w:widowControl/>
        <w:numPr>
          <w:ilvl w:val="0"/>
          <w:numId w:val="0"/>
        </w:numPr>
        <w:spacing w:line="240" w:lineRule="auto"/>
        <w:ind w:leftChars="0"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2018年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满意度</w:t>
      </w:r>
      <w:r>
        <w:rPr>
          <w:rFonts w:hint="eastAsia" w:asciiTheme="minorEastAsia" w:hAnsiTheme="minorEastAsia"/>
          <w:bCs/>
          <w:color w:val="auto"/>
          <w:szCs w:val="21"/>
        </w:rPr>
        <w:t>反馈为9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</w:t>
      </w:r>
      <w:r>
        <w:rPr>
          <w:rFonts w:hint="eastAsia" w:asciiTheme="minorEastAsia" w:hAnsiTheme="minorEastAsia"/>
          <w:bCs/>
          <w:color w:val="auto"/>
          <w:szCs w:val="21"/>
        </w:rPr>
        <w:t>%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2019年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内部顾客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度</w:t>
      </w:r>
      <w:r>
        <w:rPr>
          <w:rFonts w:hint="eastAsia" w:asciiTheme="minorEastAsia" w:hAnsiTheme="minorEastAsia"/>
          <w:bCs/>
          <w:color w:val="auto"/>
          <w:szCs w:val="21"/>
        </w:rPr>
        <w:t>反馈为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98</w:t>
      </w:r>
      <w:r>
        <w:rPr>
          <w:rFonts w:hint="eastAsia" w:asciiTheme="minorEastAsia" w:hAnsiTheme="minorEastAsia"/>
          <w:bCs/>
          <w:color w:val="auto"/>
          <w:szCs w:val="21"/>
        </w:rPr>
        <w:t>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公司目标管理具有动态性持续性，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按规定的内容</w:t>
      </w:r>
      <w:r>
        <w:rPr>
          <w:rFonts w:hint="eastAsia" w:ascii="宋体" w:hAnsi="宋体"/>
          <w:bCs/>
          <w:color w:val="auto"/>
          <w:szCs w:val="21"/>
        </w:rPr>
        <w:t>每季度对目标的完成情况进</w:t>
      </w:r>
      <w:r>
        <w:rPr>
          <w:rFonts w:hint="eastAsia" w:ascii="宋体" w:hAnsi="宋体"/>
          <w:bCs/>
          <w:szCs w:val="21"/>
        </w:rPr>
        <w:t>行考核，年底汇总统计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spacing w:line="240" w:lineRule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/>
          <w:bCs/>
          <w:szCs w:val="21"/>
          <w:lang w:val="en-US" w:eastAsia="zh-CN"/>
        </w:rPr>
        <w:t>10.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color w:val="auto"/>
          <w:szCs w:val="21"/>
          <w:lang w:eastAsia="zh-CN"/>
        </w:rPr>
        <w:t>企业为非重点用能单位，</w:t>
      </w:r>
      <w:r>
        <w:rPr>
          <w:rFonts w:hint="eastAsia" w:ascii="宋体" w:hAnsi="宋体" w:cs="宋体"/>
          <w:bCs/>
          <w:kern w:val="0"/>
          <w:szCs w:val="21"/>
        </w:rPr>
        <w:t>201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年1~10月生产用电耗为0.046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kern w:val="0"/>
          <w:szCs w:val="21"/>
        </w:rPr>
        <w:t>万吨标煤，生产用水耗3.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Cs w:val="21"/>
        </w:rPr>
        <w:t>万吨。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不是重点耗能企业。</w:t>
      </w: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19</w:t>
      </w:r>
      <w:r>
        <w:rPr>
          <w:rFonts w:hint="eastAsia" w:ascii="宋体" w:hAnsi="宋体"/>
          <w:bCs/>
          <w:szCs w:val="21"/>
        </w:rPr>
        <w:t>年11月</w:t>
      </w:r>
      <w:r>
        <w:rPr>
          <w:rFonts w:hint="eastAsia" w:ascii="宋体" w:hAnsi="宋体"/>
          <w:bCs/>
          <w:szCs w:val="21"/>
          <w:lang w:val="en-US" w:eastAsia="zh-CN"/>
        </w:rPr>
        <w:t>13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下午</w:t>
      </w:r>
      <w:r>
        <w:rPr>
          <w:rFonts w:hint="eastAsia" w:ascii="宋体" w:hAnsi="宋体"/>
          <w:bCs/>
          <w:szCs w:val="21"/>
        </w:rPr>
        <w:t>至</w:t>
      </w:r>
      <w:r>
        <w:rPr>
          <w:rFonts w:hint="eastAsia" w:ascii="宋体" w:hAnsi="宋体"/>
          <w:bCs/>
          <w:szCs w:val="21"/>
          <w:lang w:val="en-US" w:eastAsia="zh-CN"/>
        </w:rPr>
        <w:t>14</w:t>
      </w:r>
      <w:r>
        <w:rPr>
          <w:rFonts w:hint="eastAsia" w:ascii="宋体" w:hAnsi="宋体"/>
          <w:bCs/>
          <w:szCs w:val="21"/>
        </w:rPr>
        <w:t>日上午，对江苏海威塑业科技有限公司测量管理现场监督审核，验证了公司在测量管理体系实现认证后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两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测量设备、测量记录及外部供方管理各项工作，比上一年度有进步，使公司测量体系持续满足顾客的测量要求。综上所述，审核组认为，江苏海威塑业科技有限公司基本符合GB/T 19022-2003标准要求，对体系运行具有持续的有效性、符合性予以肯定。建议报请国标联合认证有限公司批准通过监督审核。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widowControl/>
        <w:numPr>
          <w:ilvl w:val="0"/>
          <w:numId w:val="4"/>
        </w:numPr>
        <w:spacing w:line="240" w:lineRule="auto"/>
        <w:ind w:leftChars="0" w:firstLine="420" w:firstLineChars="200"/>
        <w:jc w:val="left"/>
        <w:rPr>
          <w:rFonts w:hint="eastAsia" w:ascii="宋体" w:hAnsi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  <w:lang w:eastAsia="zh-CN"/>
        </w:rPr>
        <w:t>目前公司共识别出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14个</w:t>
      </w:r>
      <w:r>
        <w:rPr>
          <w:rFonts w:hint="eastAsia" w:ascii="宋体" w:hAnsi="宋体"/>
          <w:b w:val="0"/>
          <w:bCs w:val="0"/>
          <w:szCs w:val="21"/>
          <w:lang w:eastAsia="zh-CN"/>
        </w:rPr>
        <w:t>测量过程，不满足公司各类产品的测量需求，还需要继续完善企业经营和生产中测量要求和测量过程的识别。</w:t>
      </w:r>
    </w:p>
    <w:p>
      <w:pPr>
        <w:widowControl/>
        <w:numPr>
          <w:ilvl w:val="0"/>
          <w:numId w:val="4"/>
        </w:numPr>
        <w:spacing w:line="240" w:lineRule="auto"/>
        <w:ind w:leftChars="0" w:firstLine="420" w:firstLineChars="200"/>
        <w:jc w:val="left"/>
        <w:rPr>
          <w:rFonts w:hint="eastAsia" w:ascii="宋体" w:hAnsi="宋体" w:cs="宋体" w:eastAsiaTheme="minorEastAsia"/>
          <w:b w:val="0"/>
          <w:bCs w:val="0"/>
          <w:color w:val="auto"/>
          <w:kern w:val="0"/>
          <w:szCs w:val="21"/>
          <w:lang w:eastAsia="zh-CN"/>
        </w:rPr>
      </w:pPr>
      <w:bookmarkStart w:id="11" w:name="_GoBack"/>
      <w:bookmarkEnd w:id="11"/>
      <w:r>
        <w:rPr>
          <w:rFonts w:hint="eastAsia" w:ascii="宋体" w:hAnsi="宋体"/>
          <w:b w:val="0"/>
          <w:bCs w:val="0"/>
          <w:szCs w:val="21"/>
        </w:rPr>
        <w:t>进一步提高内审工作质量，不能使内审工作成为“走过场”，每年审核要有新的发现，真正找出企业在测量过程和测量设备管理中存在的问题。</w:t>
      </w:r>
    </w:p>
    <w:p>
      <w:pPr>
        <w:widowControl/>
        <w:numPr>
          <w:ilvl w:val="0"/>
          <w:numId w:val="0"/>
        </w:numPr>
        <w:spacing w:line="276" w:lineRule="auto"/>
        <w:jc w:val="both"/>
        <w:rPr>
          <w:rFonts w:ascii="宋体" w:hAnsi="宋体" w:eastAsia="宋体" w:cs="宋体"/>
          <w:b w:val="0"/>
          <w:bCs w:val="0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b w:val="0"/>
          <w:bCs w:val="0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1470" w:firstLineChars="700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2310" w:firstLineChars="1100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-334010</wp:posOffset>
          </wp:positionH>
          <wp:positionV relativeFrom="paragraph">
            <wp:posOffset>160020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2EC9D5"/>
    <w:multiLevelType w:val="singleLevel"/>
    <w:tmpl w:val="1E2EC9D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165DC0"/>
    <w:rsid w:val="4D176EE5"/>
    <w:rsid w:val="4E702063"/>
    <w:rsid w:val="68391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2019-11-14T05:36:03Z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