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0066-2018-2021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正弦科技有限公司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电子数显卡尺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2017011327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量块5等刀口形直尺MPE:1.0μm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2020.8.5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里氏硬度计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SH098526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HLN120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U=5HL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标准里氏硬度块U=3HLK=2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2020.8.25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60746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ZC25-1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l=6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兆欧表检定装置0.2%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2020.10.12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示波器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DS57496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DS1104Z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直流增益U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l=4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-3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K=2频带宽度U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l=3.6%K=2上升时间U=90psK=2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示波器校准仪0.5级通用计数器U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l=9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-7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2020.10.12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静电发生器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P35601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ESS-2002EX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数字多用表0.05级多功能校准仪5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10e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-5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2020.10.12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质管部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中国航发南方工业有限公司计量实验室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质管部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676910" cy="257175"/>
                  <wp:effectExtent l="0" t="0" r="8890" b="9525"/>
                  <wp:docPr id="14" name="图片 14" descr="692b769fd02fcb9398d6fce659582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692b769fd02fcb9398d6fce6595824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2371" t="45297" r="73690" b="517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F84B13"/>
    <w:rsid w:val="5EBE6D71"/>
    <w:rsid w:val="67932C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2021-07-29T07:36:16Z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7C6400ADCF8F4B23BF8AA7F6AA385EA1</vt:lpwstr>
  </property>
</Properties>
</file>