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下接头内径检测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φ80mm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游标卡尺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《下接头内径的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  <w:r>
              <w:rPr>
                <w:rFonts w:ascii="Times New Roman" w:hAnsi="Times New Roman" w:cs="Times New Roman"/>
              </w:rPr>
              <w:t>CLFW01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《下接头内径的操作规程》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宋辉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见《下接头内径测量不确定度评定》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见《下接头内径测量过程有效性确认记录》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见《下接头内径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见《下接头内径测量过程均值控制图》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</w:t>
      </w:r>
      <w:r>
        <w:rPr>
          <w:rFonts w:hint="eastAsia"/>
        </w:rPr>
        <w:drawing>
          <wp:inline distT="0" distB="0" distL="114300" distR="114300">
            <wp:extent cx="535305" cy="252730"/>
            <wp:effectExtent l="0" t="0" r="10795" b="127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95630" cy="332740"/>
            <wp:effectExtent l="0" t="0" r="1270" b="10160"/>
            <wp:docPr id="6" name="图片 6" descr="4869f8ac92676623747d983e85d9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69f8ac92676623747d983e85d93d4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0084" t="52981" r="43081" b="41732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C1809"/>
    <w:rsid w:val="5B8F6F9D"/>
    <w:rsid w:val="71D34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2021-07-27T06:23:44Z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BF9F9421BDE6419E900292BC59111683</vt:lpwstr>
  </property>
</Properties>
</file>