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"/>
        <w:gridCol w:w="226"/>
        <w:gridCol w:w="328"/>
        <w:gridCol w:w="265"/>
        <w:gridCol w:w="132"/>
        <w:gridCol w:w="446"/>
        <w:gridCol w:w="67"/>
        <w:gridCol w:w="606"/>
        <w:gridCol w:w="393"/>
        <w:gridCol w:w="423"/>
        <w:gridCol w:w="891"/>
        <w:gridCol w:w="463"/>
        <w:gridCol w:w="434"/>
        <w:gridCol w:w="782"/>
        <w:gridCol w:w="230"/>
        <w:gridCol w:w="899"/>
        <w:gridCol w:w="65"/>
        <w:gridCol w:w="400"/>
        <w:gridCol w:w="144"/>
        <w:gridCol w:w="225"/>
        <w:gridCol w:w="255"/>
        <w:gridCol w:w="56"/>
        <w:gridCol w:w="1403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25" w:type="dxa"/>
            <w:gridSpan w:val="2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厦门一亩鲜生供应链集团有限公司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625" w:type="dxa"/>
            <w:gridSpan w:val="21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厦门市同安区洪塘路788-1号二楼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625" w:type="dxa"/>
            <w:gridSpan w:val="21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厦门市同安区洪塘路788-1号二楼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7"/>
            <w:vAlign w:val="center"/>
          </w:tcPr>
          <w:p>
            <w:pPr>
              <w:wordWrap w:val="0"/>
              <w:bidi w:val="0"/>
              <w:ind w:right="458" w:rightChars="191"/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0006-2020-F-2021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39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332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蔡加坤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13400763617</w:t>
            </w:r>
          </w:p>
        </w:tc>
        <w:tc>
          <w:tcPr>
            <w:tcW w:w="5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7"/>
            <w:vAlign w:val="top"/>
          </w:tcPr>
          <w:p>
            <w:pPr>
              <w:tabs>
                <w:tab w:val="right" w:pos="2116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王桂林（总经理）</w:t>
            </w:r>
          </w:p>
        </w:tc>
        <w:tc>
          <w:tcPr>
            <w:tcW w:w="1354" w:type="dxa"/>
            <w:gridSpan w:val="2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54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2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0" w:name="审核类型ZB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初次认证第（二）阶段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End w:id="0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23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监督审核（1）：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  <w:bookmarkStart w:id="1" w:name="_GoBack"/>
            <w:r>
              <w:rPr>
                <w:rFonts w:hint="eastAsia" w:ascii="宋体" w:hAnsi="宋体"/>
                <w:b/>
                <w:bCs/>
                <w:sz w:val="20"/>
              </w:rPr>
              <w:t>■恢复认证注册资格</w:t>
            </w:r>
          </w:p>
          <w:bookmarkEnd w:id="1"/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/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位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于厦门市同安区洪塘路788-1号二楼厦门一亩鲜生供应链集团有限公司加工区的农副产品（水果、蔬菜、畜禽肉、水产品）的初加工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CI-1;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CII-1;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CIII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23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b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 w:val="0"/>
                <w:sz w:val="20"/>
                <w:szCs w:val="22"/>
                <w:u w:val="single"/>
              </w:rPr>
              <w:t>GB/T 27304-2008 《食品安全管理体系 水产品加工企业要求》</w:t>
            </w:r>
            <w:r>
              <w:rPr>
                <w:rFonts w:hint="eastAsia"/>
                <w:b/>
                <w:bCs w:val="0"/>
                <w:sz w:val="20"/>
                <w:szCs w:val="22"/>
                <w:u w:val="single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sz w:val="20"/>
                <w:szCs w:val="22"/>
                <w:u w:val="single"/>
              </w:rPr>
              <w:t>GB/T 27301-2008 《食品安全管理体系 肉及肉制品生产企业要求》</w:t>
            </w:r>
            <w:r>
              <w:rPr>
                <w:rFonts w:hint="eastAsia"/>
                <w:b/>
                <w:bCs w:val="0"/>
                <w:sz w:val="20"/>
                <w:szCs w:val="22"/>
                <w:u w:val="single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sz w:val="20"/>
                <w:szCs w:val="22"/>
                <w:u w:val="single"/>
                <w:lang w:val="en-US" w:eastAsia="zh-CN"/>
              </w:rPr>
              <w:t>T/CCAA 23-2016《食品安全管理体系 果蔬生产企业要求》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spacing w:line="360" w:lineRule="auto"/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上午8：30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下午 17:00 </w:t>
            </w:r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21" w:type="dxa"/>
            <w:gridSpan w:val="2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089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21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CI-1,CII-1,CIII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8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邝柏臣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211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2020-N1FSMS-1222839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CII-1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108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65" w:hRule="atLeast"/>
          <w:jc w:val="center"/>
        </w:trPr>
        <w:tc>
          <w:tcPr>
            <w:tcW w:w="10275" w:type="dxa"/>
            <w:gridSpan w:val="2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65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57" w:hRule="atLeas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06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11" w:hRule="atLeas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/>
        </w:tc>
        <w:tc>
          <w:tcPr>
            <w:tcW w:w="834" w:type="dxa"/>
            <w:gridSpan w:val="4"/>
            <w:vAlign w:val="center"/>
          </w:tcPr>
          <w:p/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29" w:hRule="atLeast"/>
          <w:jc w:val="center"/>
        </w:trPr>
        <w:tc>
          <w:tcPr>
            <w:tcW w:w="10275" w:type="dxa"/>
            <w:gridSpan w:val="2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76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70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1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9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7706316076</w:t>
            </w:r>
          </w:p>
        </w:tc>
        <w:tc>
          <w:tcPr>
            <w:tcW w:w="170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1-07-27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tbl>
      <w:tblPr>
        <w:tblStyle w:val="6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29"/>
        <w:gridCol w:w="877"/>
        <w:gridCol w:w="4456"/>
        <w:gridCol w:w="190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2021-08-03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8:30-9：00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877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456" w:type="dxa"/>
            <w:shd w:val="clear" w:color="auto" w:fill="FDEADA" w:themeFill="accent6" w:themeFillTint="32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过程、产品实现策划、顾客投诉处理、内外部沟通、持续改进的机制、重大投诉处理、重大体系事故和变更管理、应急准备和响应，顾客反馈、产品召回、行业抽查情况、持续改进、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验证初审不符合项问题、证书使用情况等</w:t>
            </w:r>
          </w:p>
        </w:tc>
        <w:tc>
          <w:tcPr>
            <w:tcW w:w="1900" w:type="dxa"/>
            <w:shd w:val="clear" w:color="auto" w:fill="FDEADA" w:themeFill="accent6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877" w:type="dxa"/>
            <w:shd w:val="clear" w:color="auto" w:fill="C7DAF1" w:themeFill="text2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45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食品安全管理体系的更新</w:t>
            </w:r>
          </w:p>
        </w:tc>
        <w:tc>
          <w:tcPr>
            <w:tcW w:w="1900" w:type="dxa"/>
            <w:shd w:val="clear" w:color="auto" w:fill="C7DAF1" w:themeFill="text2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10：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87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45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</w:t>
            </w:r>
            <w:r>
              <w:rPr>
                <w:rFonts w:hint="eastAsia" w:ascii="宋体" w:hAnsi="宋体"/>
                <w:sz w:val="21"/>
                <w:szCs w:val="21"/>
              </w:rPr>
              <w:t>验证结果分析和评价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不合格品的控制</w:t>
            </w:r>
          </w:p>
        </w:tc>
        <w:tc>
          <w:tcPr>
            <w:tcW w:w="190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8.4/8.5.4.5/8.7/8.8/8.9.1-8.9.5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10：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877" w:type="dxa"/>
            <w:shd w:val="clear" w:color="auto" w:fill="FDEADA" w:themeFill="accent6" w:themeFillTint="3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4456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供方及采购管理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前提方案（原材料采购及验收）</w:t>
            </w:r>
          </w:p>
        </w:tc>
        <w:tc>
          <w:tcPr>
            <w:tcW w:w="1900" w:type="dxa"/>
            <w:shd w:val="clear" w:color="auto" w:fill="FDEADA" w:themeFill="accent6" w:themeFillTint="32"/>
            <w:vAlign w:val="top"/>
          </w:tcPr>
          <w:p>
            <w:pPr>
              <w:pStyle w:val="13"/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：5.3/6.2/7.1.6/7.4/8.2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12:30-13：00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5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午餐</w:t>
            </w: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87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45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</w:t>
            </w:r>
            <w:r>
              <w:rPr>
                <w:rFonts w:hint="eastAsia" w:ascii="宋体" w:hAnsi="宋体"/>
                <w:sz w:val="21"/>
                <w:szCs w:val="21"/>
              </w:rPr>
              <w:t>验证结果分析和评价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不合格品的控制——继续审核</w:t>
            </w:r>
          </w:p>
        </w:tc>
        <w:tc>
          <w:tcPr>
            <w:tcW w:w="190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8.4/8.5.4.5/8.7/8.8/8.9.1-8.9.5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877" w:type="dxa"/>
            <w:shd w:val="clear" w:color="auto" w:fill="FDEADA" w:themeFill="accent6" w:themeFillTint="32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4456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color w:val="auto"/>
                <w:sz w:val="21"/>
                <w:szCs w:val="21"/>
              </w:rPr>
              <w:t>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不合格和纠正措施</w:t>
            </w:r>
          </w:p>
        </w:tc>
        <w:tc>
          <w:tcPr>
            <w:tcW w:w="1900" w:type="dxa"/>
            <w:shd w:val="clear" w:color="auto" w:fill="FDEADA" w:themeFill="accent6" w:themeFillTint="32"/>
            <w:vAlign w:val="top"/>
          </w:tcPr>
          <w:p>
            <w:pPr>
              <w:pStyle w:val="13"/>
              <w:spacing w:after="0" w:line="320" w:lineRule="exact"/>
              <w:rPr>
                <w:rFonts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3"/>
              <w:spacing w:after="0"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5.3/6.2/7.1.2/7.2/7.3/7.4/7.5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/9.2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877" w:type="dxa"/>
            <w:shd w:val="clear" w:color="auto" w:fill="FDEADA" w:themeFill="accent6" w:themeFillTint="32"/>
            <w:vAlign w:val="top"/>
          </w:tcPr>
          <w:p>
            <w:pPr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4456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顾客沟通（投诉）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召回/撤回</w:t>
            </w:r>
          </w:p>
        </w:tc>
        <w:tc>
          <w:tcPr>
            <w:tcW w:w="1900" w:type="dxa"/>
            <w:shd w:val="clear" w:color="auto" w:fill="FDEADA" w:themeFill="accent6" w:themeFillTint="32"/>
            <w:vAlign w:val="top"/>
          </w:tcPr>
          <w:p>
            <w:pPr>
              <w:pStyle w:val="13"/>
              <w:spacing w:after="0" w:line="32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：5.3/6.2/7.4/8.9.5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5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5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5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19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53385"/>
    <w:rsid w:val="135D6D25"/>
    <w:rsid w:val="17B44DDE"/>
    <w:rsid w:val="3143258E"/>
    <w:rsid w:val="3EC726C7"/>
    <w:rsid w:val="445A327E"/>
    <w:rsid w:val="463517FA"/>
    <w:rsid w:val="5B550F94"/>
    <w:rsid w:val="6B2E46EB"/>
    <w:rsid w:val="7171463A"/>
    <w:rsid w:val="78F94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19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2021-08-03T14:18:41Z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6D4EA245E29E485E903FFD29E084686A</vt:lpwstr>
  </property>
</Properties>
</file>