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2021年07月29日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0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2021-07-26T02:10:43Z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2471EBF9368C447BBBE71221464F32E1</vt:lpwstr>
  </property>
</Properties>
</file>