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人事财务部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供应部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eastAsia="方正仿宋简体"/>
                <w:szCs w:val="22"/>
                <w:lang w:eastAsia="zh-CN"/>
              </w:rPr>
              <w:t>销</w:t>
            </w:r>
          </w:p>
          <w:p>
            <w:pPr>
              <w:spacing w:line="252" w:lineRule="auto"/>
              <w:jc w:val="center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eastAsia="方正仿宋简体"/>
                <w:szCs w:val="22"/>
                <w:lang w:eastAsia="zh-CN"/>
              </w:rPr>
              <w:t>售</w:t>
            </w:r>
          </w:p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zCs w:val="22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0B4EDB"/>
    <w:rsid w:val="42AE1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2021-07-28T04:36:26Z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225E71F2AA424B328B4019086EFE40DC</vt:lpwstr>
  </property>
</Properties>
</file>