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bookmarkStart w:id="21" w:name="_GoBack"/>
      <w:bookmarkEnd w:id="21"/>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四川省四维联星石油科技有限公司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p>
            <w:pPr>
              <w:spacing w:line="240" w:lineRule="exact"/>
              <w:jc w:val="center"/>
              <w:rPr>
                <w:b/>
                <w:color w:val="000000" w:themeColor="text1"/>
                <w:sz w:val="20"/>
                <w:szCs w:val="20"/>
              </w:rPr>
            </w:pPr>
            <w:r>
              <w:rPr>
                <w:b/>
                <w:color w:val="000000" w:themeColor="text1"/>
                <w:sz w:val="20"/>
                <w:szCs w:val="20"/>
              </w:rP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O:实习审核员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p>
            <w:pPr>
              <w:spacing w:line="240" w:lineRule="exact"/>
              <w:jc w:val="center"/>
              <w:rPr>
                <w:b/>
                <w:color w:val="000000" w:themeColor="text1"/>
                <w:sz w:val="20"/>
                <w:szCs w:val="20"/>
              </w:rPr>
            </w:pPr>
            <w:r>
              <w:rPr>
                <w:b/>
                <w:color w:val="000000" w:themeColor="text1"/>
                <w:sz w:val="20"/>
                <w:szCs w:val="20"/>
              </w:rP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评价组织管理体系建立、实施运行的符合性及有效性，以确定是否保持认证注册。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ISO45001：2018,Q：GB/T19001-2016/ISO9001:2015</w:t>
      </w:r>
      <w:bookmarkEnd w:id="4"/>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四川省四维联星石油科技有限公司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成都市武侯区一环路南二段17号11楼A.16号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成都市成华区建和路6号颐和家园4栋</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王瑞</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w:t>
            </w:r>
            <w:bookmarkEnd w:id="11"/>
            <w:r>
              <w:rPr>
                <w:rFonts w:hint="eastAsia" w:ascii="宋体" w:hAnsi="宋体"/>
                <w:b/>
                <w:color w:val="000000" w:themeColor="text1"/>
                <w:sz w:val="20"/>
                <w:szCs w:val="20"/>
                <w:lang w:val="en-US" w:eastAsia="zh-CN"/>
              </w:rPr>
              <w:t>829841889</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张丽华</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张俪馨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w:t>
            </w:r>
            <w:r>
              <w:rPr>
                <w:rFonts w:hint="eastAsia" w:ascii="宋体" w:hAnsi="宋体"/>
                <w:b/>
                <w:color w:val="000000" w:themeColor="text1"/>
                <w:sz w:val="20"/>
                <w:szCs w:val="20"/>
                <w:lang w:eastAsia="zh-CN"/>
              </w:rPr>
              <w:t>石油科技技术服务</w:t>
            </w:r>
            <w:r>
              <w:rPr>
                <w:rFonts w:ascii="宋体" w:hAnsi="宋体"/>
                <w:b/>
                <w:color w:val="000000" w:themeColor="text1"/>
                <w:sz w:val="20"/>
                <w:szCs w:val="20"/>
              </w:rPr>
              <w:t>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hint="eastAsia" w:ascii="宋体" w:hAnsi="宋体"/>
                <w:b/>
                <w:color w:val="000000" w:themeColor="text1"/>
                <w:sz w:val="20"/>
                <w:szCs w:val="20"/>
                <w:lang w:eastAsia="zh-CN"/>
              </w:rPr>
              <w:t>石油科技技术服务</w:t>
            </w:r>
            <w:r>
              <w:rPr>
                <w:rFonts w:ascii="宋体" w:hAnsi="宋体"/>
                <w:b/>
                <w:color w:val="000000" w:themeColor="text1"/>
                <w:sz w:val="20"/>
                <w:szCs w:val="20"/>
              </w:rPr>
              <w:t>所涉及的相关职业健康安全管理活动</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Q：</w:t>
            </w:r>
            <w:bookmarkEnd w:id="16"/>
            <w:r>
              <w:rPr>
                <w:rFonts w:hint="eastAsia" w:ascii="宋体" w:hAnsi="宋体"/>
                <w:b/>
                <w:color w:val="000000" w:themeColor="text1"/>
                <w:sz w:val="20"/>
                <w:szCs w:val="20"/>
                <w:lang w:eastAsia="zh-CN"/>
              </w:rPr>
              <w:t>石油科技技术服务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p>
          <w:p>
            <w:pPr>
              <w:spacing w:line="320" w:lineRule="exact"/>
              <w:rPr>
                <w:rFonts w:ascii="宋体" w:hAnsi="宋体"/>
                <w:b/>
                <w:color w:val="000000" w:themeColor="text1"/>
                <w:sz w:val="20"/>
                <w:szCs w:val="20"/>
              </w:rPr>
            </w:pPr>
            <w:r>
              <w:rPr>
                <w:rFonts w:ascii="宋体" w:hAnsi="宋体"/>
                <w:b/>
                <w:color w:val="000000" w:themeColor="text1"/>
                <w:sz w:val="20"/>
                <w:szCs w:val="20"/>
              </w:rPr>
              <w:t>Q：34.06.00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2020-01-10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购销部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sz w:val="20"/>
                <w:highlight w:val="none"/>
              </w:rPr>
              <w:t>石油科技技术服务（</w:t>
            </w:r>
            <w:r>
              <w:rPr>
                <w:rFonts w:hint="eastAsia"/>
                <w:sz w:val="20"/>
                <w:highlight w:val="none"/>
              </w:rPr>
              <w:t>审核确认范围，减少螺杆研发）</w:t>
            </w:r>
          </w:p>
        </w:tc>
        <w:tc>
          <w:tcPr>
            <w:tcW w:w="2519" w:type="dxa"/>
            <w:vAlign w:val="top"/>
          </w:tcPr>
          <w:p>
            <w:pPr>
              <w:rPr>
                <w:rFonts w:ascii="Times New Roman" w:hAnsi="Times New Roman" w:eastAsia="宋体" w:cs="Times New Roman"/>
                <w:color w:val="000000" w:themeColor="text1"/>
                <w:kern w:val="2"/>
                <w:sz w:val="20"/>
                <w:szCs w:val="20"/>
                <w:lang w:val="en-US" w:eastAsia="zh-CN" w:bidi="ar-SA"/>
              </w:rPr>
            </w:pPr>
            <w:r>
              <w:rPr>
                <w:rFonts w:hint="eastAsia"/>
                <w:color w:val="000000" w:themeColor="text1"/>
                <w:sz w:val="20"/>
                <w:szCs w:val="20"/>
              </w:rPr>
              <w:t>服务/产品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spacing w:line="40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AQ 2012-2007石油天然气安全规程、SY/T5172-2007《直井井眼轨迹控制技术》、GB/T16782-1997油基钻井液现场测试程序、GB/T16783-1997水基钻井液现场测试程序、SY/T5008-2008《钻井井身质量控制规范》、SY/T5955-2004《定向井井身轨迹质量》、Q/SYJD316-2005《定向井技术装备配套要求》</w:t>
            </w:r>
            <w:r>
              <w:rPr>
                <w:rFonts w:hint="eastAsia" w:ascii="宋体" w:hAnsi="宋体"/>
                <w:szCs w:val="21"/>
              </w:rPr>
              <w:t>、产品质量法</w:t>
            </w:r>
            <w:r>
              <w:rPr>
                <w:rFonts w:hint="eastAsia" w:ascii="宋体" w:hAnsi="宋体"/>
                <w:szCs w:val="22"/>
              </w:rPr>
              <w:t>等</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□体系运行开始的年月</w:t>
      </w:r>
      <w:bookmarkStart w:id="19" w:name="OLE_LINK1"/>
      <w:r>
        <w:rPr>
          <w:rFonts w:hint="eastAsia"/>
          <w:b/>
          <w:color w:val="000000" w:themeColor="text1"/>
          <w:spacing w:val="-10"/>
          <w:szCs w:val="21"/>
        </w:rPr>
        <w:t>日</w:t>
      </w:r>
      <w:bookmarkEnd w:id="19"/>
      <w:r>
        <w:rPr>
          <w:rFonts w:hint="eastAsia"/>
          <w:b/>
          <w:color w:val="000000" w:themeColor="text1"/>
          <w:spacing w:val="-10"/>
          <w:szCs w:val="21"/>
        </w:rPr>
        <w:t>至年月日。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adjustRightInd w:val="0"/>
              <w:snapToGrid w:val="0"/>
              <w:spacing w:line="360" w:lineRule="auto"/>
              <w:ind w:firstLine="420" w:firstLineChars="200"/>
              <w:jc w:val="center"/>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质量方针： “以专业的渠道，优质的服务赢得客户的青睐；</w:t>
            </w:r>
          </w:p>
          <w:p>
            <w:pPr>
              <w:jc w:val="left"/>
              <w:rPr>
                <w:rFonts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以诚信的态度，科学的管理赢得进步的空间”。环境方针： “坚持走可持续发展之路，倡导绿色环保思想，遵守法律法规，从产品销售到服务的全过程中，实行污染预防和持续改进”。 职业健康安全方针： “保障健康、安全服务、以人为本、永续发展、遵守法规、持续改进”。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eastAsia="宋体" w:cs="Times New Roman"/>
                <w:color w:val="000000" w:themeColor="text1"/>
                <w:kern w:val="2"/>
                <w:sz w:val="21"/>
                <w:szCs w:val="24"/>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质量管理体系过程有：合同评审、服务管理过程。</w:t>
            </w:r>
          </w:p>
          <w:p>
            <w:pPr>
              <w:tabs>
                <w:tab w:val="left" w:pos="540"/>
              </w:tabs>
              <w:spacing w:line="300" w:lineRule="exact"/>
              <w:ind w:left="201" w:hanging="201" w:hangingChars="100"/>
              <w:rPr>
                <w:rFonts w:ascii="宋体" w:hAnsi="宋体"/>
                <w:b/>
                <w:color w:val="FF0000"/>
                <w:sz w:val="20"/>
                <w:szCs w:val="20"/>
                <w:u w:val="single"/>
              </w:rPr>
            </w:pPr>
            <w:r>
              <w:rPr>
                <w:rFonts w:hint="eastAsia" w:ascii="宋体" w:hAnsi="宋体"/>
                <w:b/>
                <w:color w:val="000000" w:themeColor="text1"/>
                <w:sz w:val="20"/>
                <w:szCs w:val="20"/>
              </w:rPr>
              <w:t>其中关键过程有：</w:t>
            </w:r>
            <w:r>
              <w:rPr>
                <w:rFonts w:hint="eastAsia" w:ascii="宋体" w:hAnsi="宋体"/>
                <w:b/>
                <w:color w:val="auto"/>
                <w:sz w:val="20"/>
                <w:szCs w:val="20"/>
              </w:rPr>
              <w:t>技术服务过程。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需要确认过程：服务过程</w:t>
            </w:r>
          </w:p>
          <w:p>
            <w:pPr>
              <w:tabs>
                <w:tab w:val="left" w:pos="540"/>
              </w:tabs>
              <w:spacing w:line="300" w:lineRule="exact"/>
              <w:ind w:left="201" w:leftChars="0" w:hanging="201" w:hangingChars="100"/>
              <w:rPr>
                <w:rFonts w:ascii="宋体" w:hAnsi="宋体" w:eastAsia="宋体" w:cs="Times New Roman"/>
                <w:b/>
                <w:color w:val="000000" w:themeColor="text1"/>
                <w:kern w:val="2"/>
                <w:sz w:val="21"/>
                <w:szCs w:val="21"/>
                <w:lang w:val="en-US" w:eastAsia="zh-CN" w:bidi="ar-SA"/>
              </w:rPr>
            </w:pPr>
            <w:r>
              <w:rPr>
                <w:b/>
                <w:color w:val="000000" w:themeColor="text1"/>
                <w:sz w:val="20"/>
                <w:szCs w:val="20"/>
              </w:rPr>
              <w:pict>
                <v:shape id="_x0000_s2052" o:spid="_x0000_s2052"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ind w:firstLine="525" w:firstLineChars="250"/>
              <w:rPr>
                <w:rFonts w:ascii="宋体" w:hAnsi="宋体" w:cs="宋体"/>
                <w:color w:val="000000"/>
                <w:kern w:val="0"/>
                <w:szCs w:val="21"/>
              </w:rPr>
            </w:pPr>
            <w:r>
              <w:rPr>
                <w:rFonts w:hint="eastAsia" w:ascii="宋体" w:hAnsi="宋体" w:cs="宋体"/>
                <w:color w:val="000000"/>
                <w:kern w:val="0"/>
                <w:szCs w:val="21"/>
              </w:rPr>
              <w:t>质量、环境、职业健康安全目标：</w:t>
            </w:r>
          </w:p>
          <w:p>
            <w:pPr>
              <w:tabs>
                <w:tab w:val="left" w:pos="3731"/>
              </w:tabs>
              <w:adjustRightInd w:val="0"/>
              <w:snapToGrid w:val="0"/>
              <w:spacing w:line="312" w:lineRule="auto"/>
              <w:ind w:firstLine="420" w:firstLineChars="200"/>
              <w:rPr>
                <w:rFonts w:ascii="宋体" w:hAnsi="宋体" w:cs="宋体"/>
                <w:color w:val="000000"/>
                <w:kern w:val="0"/>
                <w:szCs w:val="21"/>
              </w:rPr>
            </w:pPr>
            <w:r>
              <w:rPr>
                <w:rFonts w:hint="eastAsia" w:ascii="宋体" w:hAnsi="宋体" w:cs="宋体"/>
                <w:color w:val="000000"/>
                <w:kern w:val="0"/>
                <w:szCs w:val="21"/>
              </w:rPr>
              <w:t>1、办公、生活废弃物分类收集处理率100%；              </w:t>
            </w:r>
          </w:p>
          <w:p>
            <w:pPr>
              <w:tabs>
                <w:tab w:val="left" w:pos="3731"/>
              </w:tabs>
              <w:adjustRightInd w:val="0"/>
              <w:snapToGrid w:val="0"/>
              <w:spacing w:line="312" w:lineRule="auto"/>
              <w:ind w:firstLine="420" w:firstLineChars="200"/>
              <w:rPr>
                <w:rFonts w:ascii="宋体" w:hAnsi="宋体" w:cs="宋体"/>
                <w:color w:val="000000"/>
                <w:kern w:val="0"/>
                <w:szCs w:val="21"/>
              </w:rPr>
            </w:pPr>
            <w:r>
              <w:rPr>
                <w:rFonts w:hint="eastAsia" w:ascii="宋体" w:hAnsi="宋体" w:cs="宋体"/>
                <w:color w:val="000000"/>
                <w:kern w:val="0"/>
                <w:szCs w:val="21"/>
              </w:rPr>
              <w:t>2、火灾发生为0；               </w:t>
            </w:r>
          </w:p>
          <w:p>
            <w:pPr>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3、环境扰民投诉为0。</w:t>
            </w:r>
          </w:p>
          <w:p>
            <w:pPr>
              <w:pStyle w:val="16"/>
              <w:ind w:firstLine="420" w:firstLineChars="200"/>
              <w:rPr>
                <w:rFonts w:hint="default" w:cs="宋体"/>
                <w:sz w:val="21"/>
                <w:szCs w:val="21"/>
              </w:rPr>
            </w:pPr>
            <w:r>
              <w:rPr>
                <w:rFonts w:cs="宋体"/>
                <w:sz w:val="21"/>
                <w:szCs w:val="21"/>
              </w:rPr>
              <w:t>4、重大安全事故和伤亡事故为0。</w:t>
            </w:r>
          </w:p>
          <w:p>
            <w:pPr>
              <w:pStyle w:val="16"/>
              <w:ind w:firstLine="420" w:firstLineChars="200"/>
              <w:rPr>
                <w:rFonts w:hint="default" w:cs="宋体"/>
                <w:sz w:val="21"/>
                <w:szCs w:val="21"/>
              </w:rPr>
            </w:pPr>
            <w:r>
              <w:rPr>
                <w:rFonts w:cs="宋体"/>
                <w:sz w:val="21"/>
                <w:szCs w:val="21"/>
              </w:rPr>
              <w:t>5、服务合格率100%</w:t>
            </w:r>
          </w:p>
          <w:p>
            <w:pPr>
              <w:pStyle w:val="16"/>
              <w:ind w:firstLine="420" w:firstLineChars="200"/>
              <w:rPr>
                <w:rFonts w:hint="default" w:cs="宋体"/>
                <w:sz w:val="21"/>
                <w:szCs w:val="21"/>
              </w:rPr>
            </w:pPr>
            <w:r>
              <w:rPr>
                <w:rFonts w:cs="宋体"/>
                <w:sz w:val="21"/>
                <w:szCs w:val="21"/>
              </w:rPr>
              <w:t>6、合同按时完成率100%</w:t>
            </w:r>
          </w:p>
          <w:p>
            <w:pPr>
              <w:pStyle w:val="16"/>
              <w:ind w:firstLine="420" w:firstLineChars="200"/>
              <w:rPr>
                <w:rFonts w:hint="default" w:ascii="宋体" w:hAnsi="宋体" w:eastAsia="宋体" w:cs="Times New Roman"/>
                <w:b/>
                <w:color w:val="000000" w:themeColor="text1"/>
                <w:sz w:val="24"/>
                <w:lang w:val="en-US" w:eastAsia="zh-CN" w:bidi="ar-SA"/>
              </w:rPr>
            </w:pPr>
            <w:r>
              <w:rPr>
                <w:rFonts w:cs="宋体"/>
                <w:sz w:val="21"/>
                <w:szCs w:val="21"/>
              </w:rPr>
              <w:t>7、顾客满意率≥90分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2020 </w:t>
            </w:r>
            <w:r>
              <w:rPr>
                <w:rFonts w:hint="eastAsia" w:ascii="宋体" w:hAnsi="宋体" w:cs="宋体"/>
                <w:color w:val="000000" w:themeColor="text1"/>
              </w:rPr>
              <w:t>年1月10日换版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szCs w:val="21"/>
              </w:rPr>
              <w:t>办公场所面积</w:t>
            </w:r>
            <w:r>
              <w:rPr>
                <w:rFonts w:hint="eastAsia" w:ascii="宋体" w:hAnsi="宋体"/>
                <w:szCs w:val="21"/>
                <w:lang w:val="en-US" w:eastAsia="zh-CN"/>
              </w:rPr>
              <w:t>12</w:t>
            </w:r>
            <w:r>
              <w:rPr>
                <w:rFonts w:hint="eastAsia" w:ascii="宋体" w:hAnsi="宋体"/>
                <w:szCs w:val="21"/>
              </w:rPr>
              <w:t>0平方左右，服务设备主要为</w:t>
            </w:r>
            <w:r>
              <w:rPr>
                <w:rFonts w:hint="eastAsia" w:ascii="宋体" w:hAnsi="宋体" w:cs="宋体"/>
                <w:color w:val="000000"/>
                <w:szCs w:val="21"/>
              </w:rPr>
              <w:t>MWD随钻测量系统、ABT近钻头地质导向系统、</w:t>
            </w:r>
            <w:r>
              <w:rPr>
                <w:rFonts w:hint="eastAsia" w:ascii="宋体" w:hAnsi="宋体"/>
                <w:szCs w:val="21"/>
              </w:rPr>
              <w:t>水力振荡器、振荡螺杆</w:t>
            </w:r>
            <w:r>
              <w:rPr>
                <w:rFonts w:hint="eastAsia" w:ascii="宋体" w:hAnsi="宋体" w:cs="宋体"/>
                <w:color w:val="000000"/>
                <w:szCs w:val="21"/>
              </w:rPr>
              <w:t>等（采用租赁的方式）</w:t>
            </w:r>
            <w:r>
              <w:rPr>
                <w:rFonts w:hint="eastAsia" w:ascii="宋体" w:hAnsi="宋体" w:cs="宋体"/>
                <w:szCs w:val="21"/>
              </w:rPr>
              <w:t>等和办公设备</w:t>
            </w:r>
            <w:r>
              <w:rPr>
                <w:rFonts w:hint="eastAsia" w:ascii="宋体" w:hAnsi="宋体"/>
                <w:szCs w:val="21"/>
              </w:rPr>
              <w:t>，可以满足设计和服务</w:t>
            </w:r>
            <w:r>
              <w:rPr>
                <w:rFonts w:hint="eastAsia" w:ascii="宋体" w:hAnsi="宋体" w:cs="宋体"/>
                <w:szCs w:val="21"/>
              </w:rPr>
              <w:t>需</w:t>
            </w:r>
            <w:r>
              <w:rPr>
                <w:rFonts w:hint="eastAsia" w:ascii="宋体" w:hAnsi="宋体"/>
                <w:szCs w:val="21"/>
              </w:rPr>
              <w:t>要</w:t>
            </w:r>
            <w:r>
              <w:rPr>
                <w:rFonts w:hint="eastAsia" w:ascii="宋体" w:hAnsi="宋体" w:cs="宋体"/>
                <w:szCs w:val="21"/>
              </w:rPr>
              <w:t>。特种设备：无。公司未建立信息管理系统用于生产和服务。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w:t>
            </w:r>
            <w:r>
              <w:rPr>
                <w:rFonts w:hint="eastAsia" w:ascii="宋体" w:hAnsi="宋体"/>
                <w:szCs w:val="21"/>
              </w:rPr>
              <w:t>服务</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ind w:firstLine="420" w:firstLineChars="200"/>
              <w:rPr>
                <w:rFonts w:ascii="宋体" w:hAnsi="宋体" w:cs="宋体"/>
                <w:szCs w:val="21"/>
              </w:rPr>
            </w:pPr>
            <w:r>
              <w:rPr>
                <w:rFonts w:hint="eastAsia" w:ascii="宋体" w:hAnsi="宋体" w:cs="宋体"/>
                <w:szCs w:val="21"/>
              </w:rPr>
              <w:t>查公司暂未配置检测设备，服务设备和设计产品的检测由租赁方和外包方进行控制，能保证</w:t>
            </w:r>
            <w:r>
              <w:rPr>
                <w:rFonts w:hint="eastAsia" w:ascii="宋体" w:hAnsi="宋体"/>
                <w:szCs w:val="21"/>
              </w:rPr>
              <w:t>服务和设计</w:t>
            </w:r>
            <w:r>
              <w:rPr>
                <w:rFonts w:hint="eastAsia" w:ascii="宋体" w:hAnsi="宋体" w:cs="宋体"/>
                <w:szCs w:val="21"/>
              </w:rPr>
              <w:t>要求。</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rPr>
              <w:t>组织重要环境因素为固废排放和潜在火灾，需要应对的风险和机遇相关的过程为设计和技术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1080"/>
              </w:tabs>
              <w:spacing w:line="400" w:lineRule="exact"/>
              <w:ind w:firstLine="630" w:firstLineChars="30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asciiTheme="minorEastAsia" w:hAnsiTheme="minorEastAsia" w:eastAsiaTheme="minorEastAsia"/>
                <w:bCs/>
                <w:iCs/>
                <w:color w:val="auto"/>
              </w:rPr>
              <w:t>1、</w:t>
            </w:r>
            <w:r>
              <w:rPr>
                <w:rFonts w:hint="eastAsia"/>
                <w:color w:val="auto"/>
              </w:rPr>
              <w:t>火灾；2、触电；3、中暑等</w:t>
            </w:r>
            <w:r>
              <w:rPr>
                <w:rFonts w:hint="eastAsia" w:asciiTheme="minorEastAsia" w:hAnsiTheme="minorEastAsia" w:eastAsiaTheme="minorEastAsia"/>
                <w:bCs/>
                <w:iCs/>
                <w:color w:val="auto"/>
              </w:rPr>
              <w:t>，与之相关</w:t>
            </w:r>
            <w:r>
              <w:rPr>
                <w:rFonts w:hint="eastAsia" w:asciiTheme="minorEastAsia" w:hAnsiTheme="minorEastAsia" w:eastAsiaTheme="minorEastAsia"/>
                <w:bCs/>
                <w:iCs/>
              </w:rPr>
              <w:t>的过程有服务、信息处理过程，针对不可接受风险制定了管理方案。控制措施实施有效。</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0"/>
                <w:szCs w:val="20"/>
                <w:lang w:val="en-US" w:eastAsia="zh-CN" w:bidi="ar-SA"/>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rFonts w:ascii="Times New Roman" w:hAnsi="Times New Roman" w:eastAsia="宋体" w:cs="Times New Roman"/>
                <w:kern w:val="2"/>
                <w:sz w:val="20"/>
                <w:szCs w:val="20"/>
                <w:lang w:val="en-US" w:eastAsia="zh-CN" w:bidi="ar-SA"/>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年1月-202</w:t>
            </w:r>
            <w:r>
              <w:rPr>
                <w:rFonts w:hint="eastAsia" w:ascii="宋体" w:hAnsi="宋体" w:cs="宋体"/>
                <w:szCs w:val="21"/>
                <w:lang w:val="en-US" w:eastAsia="zh-CN"/>
              </w:rPr>
              <w:t>1</w:t>
            </w:r>
            <w:r>
              <w:rPr>
                <w:rFonts w:hint="eastAsia" w:ascii="宋体" w:hAnsi="宋体" w:cs="宋体"/>
                <w:szCs w:val="21"/>
              </w:rPr>
              <w:t>年6月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szCs w:val="21"/>
                <w:highlight w:val="none"/>
              </w:rPr>
              <w:t>，</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月实施，满意度评价96</w:t>
            </w:r>
            <w:r>
              <w:rPr>
                <w:rFonts w:hint="eastAsia" w:ascii="宋体" w:hAnsi="宋体" w:cs="宋体"/>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szCs w:val="21"/>
              </w:rPr>
              <w:t>建立有《内部审核控制程序》，规定了内审频次一年一次，内审时间：</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年4月</w:t>
            </w:r>
            <w:r>
              <w:rPr>
                <w:rFonts w:hint="eastAsia" w:ascii="宋体" w:hAnsi="宋体" w:cs="宋体"/>
                <w:szCs w:val="21"/>
                <w:lang w:val="en-US" w:eastAsia="zh-CN"/>
              </w:rPr>
              <w:t>12-13</w:t>
            </w:r>
            <w:r>
              <w:rPr>
                <w:rFonts w:hint="eastAsia" w:ascii="宋体" w:hAnsi="宋体" w:cs="宋体"/>
                <w:szCs w:val="21"/>
              </w:rPr>
              <w:t>日</w:t>
            </w:r>
            <w:r>
              <w:rPr>
                <w:rFonts w:hint="eastAsia" w:ascii="宋体" w:hAnsi="宋体"/>
                <w:szCs w:val="21"/>
              </w:rPr>
              <w:t>，拟定了审核实施表，明确了内审范围，内审人员经培训合格上岗，能力满足要求，未出现审核本部门情况，内审不符合项1项，</w:t>
            </w:r>
            <w:r>
              <w:rPr>
                <w:rFonts w:hint="eastAsia" w:ascii="宋体" w:hAnsi="宋体" w:cs="宋体"/>
                <w:szCs w:val="21"/>
              </w:rPr>
              <w:t>涉及</w:t>
            </w:r>
            <w:r>
              <w:rPr>
                <w:rFonts w:hint="eastAsia" w:ascii="宋体" w:hAnsi="宋体" w:cs="宋体"/>
                <w:szCs w:val="21"/>
                <w:lang w:val="en-US" w:eastAsia="zh-CN"/>
              </w:rPr>
              <w:t>购销部Q8.2.1</w:t>
            </w:r>
            <w:r>
              <w:rPr>
                <w:rFonts w:hint="eastAsia" w:ascii="宋体" w:hAnsi="宋体" w:cs="宋体"/>
                <w:szCs w:val="21"/>
              </w:rPr>
              <w:t>条款，2021.1.15未见销售合同评审记录</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年5月</w:t>
            </w:r>
            <w:r>
              <w:rPr>
                <w:rFonts w:hint="eastAsia" w:ascii="宋体" w:hAnsi="宋体"/>
                <w:szCs w:val="21"/>
                <w:lang w:val="en-US" w:eastAsia="zh-CN"/>
              </w:rPr>
              <w:t>8</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Times New Roman" w:hAnsi="Times New Roman" w:eastAsia="宋体" w:cs="Times New Roman"/>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Times New Roman" w:hAnsi="Times New Roman" w:eastAsia="宋体" w:cs="Times New Roman"/>
                <w:b/>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上次不符合Q</w:t>
            </w:r>
            <w:r>
              <w:rPr>
                <w:rFonts w:hint="eastAsia"/>
                <w:b/>
                <w:color w:val="000000" w:themeColor="text1"/>
                <w:szCs w:val="21"/>
                <w:lang w:val="en-US" w:eastAsia="zh-CN"/>
              </w:rPr>
              <w:t>8.5.1</w:t>
            </w:r>
            <w:r>
              <w:rPr>
                <w:rFonts w:hint="eastAsia"/>
                <w:b/>
                <w:color w:val="000000" w:themeColor="text1"/>
                <w:szCs w:val="21"/>
              </w:rPr>
              <w:t>本次审核得到改进</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1</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w:t>
      </w:r>
      <w:r>
        <w:rPr>
          <w:rFonts w:hint="eastAsia"/>
          <w:b/>
          <w:color w:val="000000" w:themeColor="text1"/>
        </w:rPr>
        <w:t>项，一般不符合</w:t>
      </w:r>
      <w:r>
        <w:rPr>
          <w:rFonts w:hint="eastAsia"/>
          <w:b/>
          <w:color w:val="000000" w:themeColor="text1"/>
          <w:lang w:val="en-US" w:eastAsia="zh-CN"/>
        </w:rPr>
        <w:t xml:space="preserve">1 </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行政部</w:t>
      </w:r>
      <w:r>
        <w:rPr>
          <w:rFonts w:hint="eastAsia"/>
          <w:b/>
          <w:color w:val="000000" w:themeColor="text1"/>
        </w:rPr>
        <w:t>部门</w:t>
      </w:r>
      <w:r>
        <w:rPr>
          <w:rFonts w:hint="eastAsia"/>
          <w:b/>
          <w:color w:val="000000" w:themeColor="text1"/>
          <w:lang w:val="en-US" w:eastAsia="zh-CN"/>
        </w:rPr>
        <w:t>ES8.2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sz w:val="26"/>
                <w:szCs w:val="26"/>
              </w:rPr>
              <w:t>■</w:t>
            </w:r>
            <w:r>
              <w:rPr>
                <w:rFonts w:hint="eastAsia"/>
                <w:b/>
                <w:color w:val="000000" w:themeColor="text1"/>
              </w:rPr>
              <w:t>审核范围变更，减少</w:t>
            </w:r>
            <w:r>
              <w:rPr>
                <w:sz w:val="20"/>
              </w:rPr>
              <w:t>螺杆研发</w:t>
            </w:r>
            <w:r>
              <w:rPr>
                <w:rFonts w:hint="eastAsia"/>
                <w:sz w:val="20"/>
              </w:rPr>
              <w:t>范围</w:t>
            </w:r>
          </w:p>
          <w:p>
            <w:pPr>
              <w:rPr>
                <w:sz w:val="20"/>
              </w:rPr>
            </w:pPr>
            <w:r>
              <w:rPr>
                <w:sz w:val="20"/>
              </w:rPr>
              <w:t>Q：石油科技技术服务</w:t>
            </w:r>
          </w:p>
          <w:p>
            <w:pPr>
              <w:rPr>
                <w:sz w:val="20"/>
              </w:rPr>
            </w:pPr>
            <w:r>
              <w:rPr>
                <w:sz w:val="20"/>
              </w:rPr>
              <w:t>E：石油科技技术服务所涉及的相关环境管理活动</w:t>
            </w:r>
          </w:p>
          <w:p>
            <w:pPr>
              <w:spacing w:line="400" w:lineRule="exact"/>
              <w:jc w:val="left"/>
              <w:rPr>
                <w:b/>
                <w:color w:val="000000" w:themeColor="text1"/>
                <w:spacing w:val="-10"/>
                <w:sz w:val="22"/>
                <w:szCs w:val="22"/>
              </w:rPr>
            </w:pPr>
            <w:r>
              <w:rPr>
                <w:sz w:val="20"/>
              </w:rPr>
              <w:t>O：石油科技技术服务所涉及的相关职业健康安全管理活动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rPr>
            </w:pPr>
            <w:r>
              <w:rPr>
                <w:rFonts w:hint="eastAsia"/>
                <w:b/>
                <w:color w:val="000000" w:themeColor="text1"/>
                <w:spacing w:val="-10"/>
                <w:szCs w:val="21"/>
                <w:lang w:eastAsia="zh-CN"/>
              </w:rPr>
              <w:t>■</w:t>
            </w:r>
            <w:r>
              <w:rPr>
                <w:rFonts w:hint="eastAsia"/>
                <w:b/>
                <w:color w:val="000000" w:themeColor="text1"/>
              </w:rPr>
              <w:t>在完成纠正措施后推荐认证注册(</w:t>
            </w:r>
            <w:r>
              <w:rPr>
                <w:rFonts w:hint="eastAsia"/>
                <w:b/>
                <w:color w:val="000000" w:themeColor="text1"/>
                <w:lang w:eastAsia="zh-CN"/>
              </w:rPr>
              <w:t>■</w:t>
            </w:r>
            <w:r>
              <w:rPr>
                <w:rFonts w:hint="eastAsia"/>
                <w:b/>
                <w:color w:val="000000" w:themeColor="text1"/>
              </w:rPr>
              <w:t xml:space="preserve">QMS     </w:t>
            </w:r>
            <w:r>
              <w:rPr>
                <w:rFonts w:hint="eastAsia"/>
                <w:b/>
                <w:color w:val="000000" w:themeColor="text1"/>
                <w:spacing w:val="-10"/>
                <w:szCs w:val="21"/>
              </w:rPr>
              <w:t>□</w:t>
            </w:r>
            <w:r>
              <w:rPr>
                <w:rFonts w:hint="eastAsia"/>
                <w:b/>
                <w:color w:val="000000" w:themeColor="text1"/>
              </w:rPr>
              <w:t xml:space="preserve">EMS   </w:t>
            </w:r>
            <w:r>
              <w:rPr>
                <w:rFonts w:hint="eastAsia"/>
                <w:b/>
                <w:color w:val="000000" w:themeColor="text1"/>
                <w:spacing w:val="-10"/>
                <w:szCs w:val="21"/>
              </w:rPr>
              <w:t>□</w:t>
            </w:r>
            <w:r>
              <w:rPr>
                <w:rFonts w:hint="eastAsia"/>
                <w:b/>
                <w:color w:val="000000" w:themeColor="text1"/>
              </w:rPr>
              <w:t>OHSMS)</w:t>
            </w:r>
          </w:p>
          <w:p>
            <w:pPr>
              <w:rPr>
                <w:b/>
                <w:color w:val="000000" w:themeColor="text1"/>
                <w:spacing w:val="-4"/>
                <w:szCs w:val="21"/>
              </w:rPr>
            </w:pPr>
            <w:r>
              <w:rPr>
                <w:rFonts w:hint="eastAsia" w:ascii="宋体" w:hAnsi="宋体" w:eastAsia="宋体" w:cs="宋体"/>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rPr>
          <w:rFonts w:hint="eastAsia"/>
          <w:b/>
          <w:color w:val="000000" w:themeColor="text1"/>
          <w:sz w:val="26"/>
          <w:szCs w:val="26"/>
        </w:rPr>
      </w:pPr>
      <w:r>
        <w:rPr>
          <w:rFonts w:hint="eastAsia"/>
          <w:b/>
          <w:color w:val="000000" w:themeColor="text1"/>
          <w:sz w:val="26"/>
          <w:szCs w:val="26"/>
        </w:rPr>
        <w:br w:type="page"/>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E85C44"/>
    <w:rsid w:val="54F47E38"/>
    <w:rsid w:val="5EC54631"/>
    <w:rsid w:val="65D63706"/>
    <w:rsid w:val="6F7D0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2021-07-22T08:16:16Z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517E4538A1A746A69DA0563CD634D37D</vt:lpwstr>
  </property>
</Properties>
</file>