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重庆南电科技有限公司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吴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公司于2020年1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Cs w:val="21"/>
              </w:rPr>
              <w:t>月1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Cs w:val="21"/>
              </w:rPr>
              <w:t>日进行了文件换版，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不能提供换版前文件的作废处理记录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不符合标准GB/T 24001-2016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ISO45001：2018的7.5.3适用时，组织应针对下列活动来控制文件化信息--保留和处置。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27305</wp:posOffset>
                  </wp:positionV>
                  <wp:extent cx="654050" cy="472440"/>
                  <wp:effectExtent l="0" t="0" r="1270" b="0"/>
                  <wp:wrapNone/>
                  <wp:docPr id="4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AppData\Local\Temp\WeChat Files\5990baca09647c352f1321b31faa90a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103505</wp:posOffset>
                  </wp:positionV>
                  <wp:extent cx="681355" cy="424180"/>
                  <wp:effectExtent l="0" t="0" r="4445" b="762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3011805</wp:posOffset>
                  </wp:positionH>
                  <wp:positionV relativeFrom="paragraph">
                    <wp:posOffset>103505</wp:posOffset>
                  </wp:positionV>
                  <wp:extent cx="681355" cy="424180"/>
                  <wp:effectExtent l="0" t="0" r="4445" b="762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2021年7月23日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2021年7月23日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2021年7月23日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A140F"/>
    <w:rsid w:val="2FE742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2021-07-23T07:59:23Z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C1DFF26533B94EB0838A023897E7D5C8</vt:lpwstr>
  </property>
</Properties>
</file>