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u w:val="none"/>
        </w:rPr>
      </w:pPr>
      <w:bookmarkStart w:id="0" w:name="合同编号"/>
      <w:r>
        <w:rPr>
          <w:rFonts w:hint="eastAsia" w:ascii="宋体" w:hAnsi="宋体"/>
          <w:b/>
          <w:bCs/>
          <w:kern w:val="0"/>
          <w:szCs w:val="21"/>
          <w:u w:val="none"/>
          <w:lang w:val="en-US" w:eastAsia="zh-CN"/>
        </w:rPr>
        <w:t>编号：</w:t>
      </w:r>
      <w:r>
        <w:rPr>
          <w:rFonts w:hint="eastAsia" w:ascii="宋体" w:hAnsi="宋体"/>
          <w:b/>
          <w:bCs/>
          <w:kern w:val="0"/>
          <w:szCs w:val="21"/>
          <w:u w:val="none"/>
        </w:rPr>
        <w:t>0268-2019-EO-2021</w:t>
      </w:r>
      <w:bookmarkEnd w:id="0"/>
      <w:r>
        <w:rPr>
          <w:rFonts w:hint="eastAsia" w:ascii="宋体" w:hAnsi="宋体"/>
          <w:b/>
          <w:bCs/>
          <w:kern w:val="0"/>
          <w:szCs w:val="21"/>
          <w:u w:val="non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重庆南电科技有限公司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E:29.12.00,33.02.01,34.05.00</w:t>
            </w:r>
          </w:p>
          <w:p>
            <w:pPr>
              <w:jc w:val="center"/>
              <w:rPr>
                <w:b/>
                <w:sz w:val="21"/>
                <w:szCs w:val="21"/>
              </w:rPr>
            </w:pPr>
            <w:r>
              <w:rPr>
                <w:b/>
                <w:sz w:val="21"/>
                <w:szCs w:val="21"/>
              </w:rPr>
              <w:t>O:29.12.00,33.02.01,34.05.00</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2020-N1EMS-1267598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default" w:eastAsia="宋体"/>
          <w:b/>
          <w:sz w:val="21"/>
          <w:szCs w:val="21"/>
          <w:lang w:val="en-US" w:eastAsia="zh-CN"/>
        </w:rPr>
      </w:pPr>
      <w:r>
        <w:rPr>
          <w:rFonts w:hint="eastAsia"/>
          <w:b/>
          <w:sz w:val="21"/>
          <w:szCs w:val="21"/>
          <w:lang w:eastAsia="zh-CN"/>
        </w:rPr>
        <w:t>■</w:t>
      </w:r>
      <w:r>
        <w:rPr>
          <w:rFonts w:hint="eastAsia"/>
          <w:b/>
          <w:sz w:val="21"/>
          <w:szCs w:val="21"/>
        </w:rPr>
        <w:t>保持认证注册资格：</w:t>
      </w:r>
      <w:r>
        <w:rPr>
          <w:rFonts w:hint="eastAsia"/>
          <w:b/>
          <w:sz w:val="21"/>
          <w:szCs w:val="21"/>
          <w:u w:val="single"/>
          <w:lang w:val="en-US" w:eastAsia="zh-CN"/>
        </w:rPr>
        <w:t>监督2</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hint="eastAsia" w:ascii="宋体" w:hAnsi="宋体"/>
                <w:b/>
                <w:sz w:val="21"/>
              </w:rPr>
              <w:t>重庆南电科技有限公司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重庆市江北区港安二路48号1幢3-1</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生产地址"/>
            <w:r>
              <w:rPr>
                <w:rFonts w:ascii="宋体"/>
                <w:b/>
                <w:sz w:val="21"/>
              </w:rPr>
              <w:t>重庆市江北区港安二路48号1幢3-1</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重庆市江北区港安二路48号1幢3-1</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吴春梅</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13500354550</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王乔道</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王乔道</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吴春梅</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2021年07月23日 上午至2021年07月23日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hint="eastAsia" w:ascii="宋体" w:hAnsi="宋体" w:eastAsia="宋体"/>
                <w:b/>
                <w:sz w:val="21"/>
                <w:szCs w:val="21"/>
                <w:lang w:eastAsia="zh-CN"/>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：计算机软件开发和销售；电力设备的研发；电力工器具、电力设备、安防产品的销售及相关环境管理活动</w:t>
            </w:r>
            <w:r>
              <w:rPr>
                <w:rFonts w:hint="eastAsia" w:ascii="宋体" w:hAnsi="宋体"/>
                <w:b/>
                <w:sz w:val="21"/>
                <w:szCs w:val="21"/>
                <w:lang w:eastAsia="zh-CN"/>
              </w:rPr>
              <w:t>。</w:t>
            </w:r>
          </w:p>
          <w:p>
            <w:pPr>
              <w:spacing w:line="360" w:lineRule="exact"/>
              <w:rPr>
                <w:rFonts w:hint="eastAsia" w:ascii="宋体" w:hAnsi="宋体" w:eastAsia="宋体"/>
                <w:b/>
                <w:sz w:val="21"/>
                <w:szCs w:val="21"/>
                <w:lang w:eastAsia="zh-CN"/>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 xml:space="preserve">：计算机软件开发和销售；电力设备的研发；电力工器具、电力设备、安防产品的销售及相关职业健康安全管理活动 </w:t>
            </w:r>
            <w:r>
              <w:rPr>
                <w:rFonts w:hint="eastAsia" w:ascii="宋体" w:hAnsi="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p>
            <w:pPr>
              <w:numPr>
                <w:ilvl w:val="0"/>
                <w:numId w:val="1"/>
              </w:numPr>
              <w:spacing w:line="360" w:lineRule="exact"/>
              <w:rPr>
                <w:rFonts w:hint="eastAsia" w:ascii="宋体" w:hAnsi="宋体"/>
                <w:b/>
                <w:sz w:val="21"/>
                <w:szCs w:val="21"/>
                <w:lang w:val="en-US" w:eastAsia="zh-CN"/>
              </w:rPr>
            </w:pPr>
            <w:r>
              <w:rPr>
                <w:rFonts w:hint="eastAsia" w:ascii="宋体" w:hAnsi="宋体"/>
                <w:b/>
                <w:sz w:val="21"/>
                <w:szCs w:val="21"/>
              </w:rPr>
              <w:t>注册地址</w:t>
            </w:r>
            <w:r>
              <w:rPr>
                <w:rFonts w:hint="eastAsia" w:ascii="宋体" w:hAnsi="宋体"/>
                <w:b/>
                <w:sz w:val="21"/>
                <w:szCs w:val="21"/>
                <w:lang w:val="en-US" w:eastAsia="zh-CN"/>
              </w:rPr>
              <w:t>变更：变更前：重庆市江北区名门山庄20号17-3。</w:t>
            </w:r>
          </w:p>
          <w:p>
            <w:pPr>
              <w:numPr>
                <w:ilvl w:val="0"/>
                <w:numId w:val="0"/>
              </w:numPr>
              <w:spacing w:line="360" w:lineRule="exact"/>
              <w:rPr>
                <w:rFonts w:hint="eastAsia" w:ascii="宋体"/>
                <w:b/>
                <w:sz w:val="21"/>
                <w:lang w:eastAsia="zh-CN"/>
              </w:rPr>
            </w:pPr>
            <w:r>
              <w:rPr>
                <w:rFonts w:hint="eastAsia" w:ascii="宋体" w:hAnsi="宋体"/>
                <w:b/>
                <w:sz w:val="21"/>
                <w:szCs w:val="21"/>
                <w:lang w:val="en-US" w:eastAsia="zh-CN"/>
              </w:rPr>
              <w:t xml:space="preserve">                  变更后：</w:t>
            </w:r>
            <w:r>
              <w:rPr>
                <w:rFonts w:ascii="宋体"/>
                <w:b/>
                <w:sz w:val="21"/>
              </w:rPr>
              <w:t>重庆市江北区港安二路48号1幢3-1</w:t>
            </w:r>
            <w:r>
              <w:rPr>
                <w:rFonts w:hint="eastAsia" w:ascii="宋体"/>
                <w:b/>
                <w:sz w:val="21"/>
                <w:lang w:eastAsia="zh-CN"/>
              </w:rPr>
              <w:t>。</w:t>
            </w:r>
          </w:p>
          <w:p>
            <w:pPr>
              <w:numPr>
                <w:ilvl w:val="0"/>
                <w:numId w:val="0"/>
              </w:numPr>
              <w:spacing w:line="360" w:lineRule="exact"/>
              <w:rPr>
                <w:rFonts w:hint="eastAsia" w:ascii="宋体" w:hAnsi="宋体"/>
                <w:b/>
                <w:sz w:val="21"/>
                <w:szCs w:val="21"/>
                <w:lang w:val="en-US" w:eastAsia="zh-CN"/>
              </w:rPr>
            </w:pPr>
            <w:r>
              <w:rPr>
                <w:rFonts w:hint="eastAsia"/>
                <w:b/>
                <w:color w:val="000000" w:themeColor="text1"/>
                <w:sz w:val="22"/>
                <w:szCs w:val="22"/>
                <w:lang w:val="en-US" w:eastAsia="zh-CN"/>
              </w:rPr>
              <w:t>2、</w:t>
            </w:r>
            <w:r>
              <w:rPr>
                <w:rFonts w:hint="eastAsia"/>
                <w:b/>
                <w:color w:val="000000" w:themeColor="text1"/>
                <w:sz w:val="22"/>
                <w:szCs w:val="22"/>
              </w:rPr>
              <w:t>经营地址</w:t>
            </w:r>
            <w:r>
              <w:rPr>
                <w:rFonts w:hint="eastAsia"/>
                <w:b/>
                <w:color w:val="000000" w:themeColor="text1"/>
                <w:sz w:val="22"/>
                <w:szCs w:val="22"/>
                <w:lang w:val="en-US" w:eastAsia="zh-CN"/>
              </w:rPr>
              <w:t>变更：</w:t>
            </w:r>
            <w:r>
              <w:rPr>
                <w:rFonts w:hint="eastAsia" w:ascii="宋体" w:hAnsi="宋体"/>
                <w:b/>
                <w:sz w:val="21"/>
                <w:szCs w:val="21"/>
                <w:lang w:val="en-US" w:eastAsia="zh-CN"/>
              </w:rPr>
              <w:t>变更前：</w:t>
            </w:r>
            <w:bookmarkStart w:id="28" w:name="办公地址"/>
            <w:r>
              <w:rPr>
                <w:rFonts w:hint="eastAsia"/>
                <w:b/>
                <w:color w:val="000000" w:themeColor="text1"/>
                <w:sz w:val="22"/>
                <w:szCs w:val="22"/>
              </w:rPr>
              <w:t>重庆市渝北区黄山大道杨柳北路力华科谷A304</w:t>
            </w:r>
            <w:bookmarkEnd w:id="28"/>
            <w:r>
              <w:rPr>
                <w:rFonts w:hint="eastAsia" w:ascii="宋体" w:hAnsi="宋体"/>
                <w:b/>
                <w:sz w:val="21"/>
                <w:szCs w:val="21"/>
                <w:lang w:val="en-US" w:eastAsia="zh-CN"/>
              </w:rPr>
              <w:t>。</w:t>
            </w:r>
          </w:p>
          <w:p>
            <w:pPr>
              <w:numPr>
                <w:ilvl w:val="0"/>
                <w:numId w:val="0"/>
              </w:numPr>
              <w:spacing w:line="360" w:lineRule="exact"/>
              <w:rPr>
                <w:rFonts w:hint="eastAsia" w:ascii="宋体" w:hAnsi="宋体" w:eastAsia="宋体"/>
                <w:b/>
                <w:sz w:val="21"/>
                <w:szCs w:val="21"/>
                <w:lang w:eastAsia="zh-CN"/>
              </w:rPr>
            </w:pPr>
            <w:r>
              <w:rPr>
                <w:rFonts w:hint="eastAsia" w:ascii="宋体" w:hAnsi="宋体"/>
                <w:b/>
                <w:sz w:val="21"/>
                <w:szCs w:val="21"/>
                <w:lang w:val="en-US" w:eastAsia="zh-CN"/>
              </w:rPr>
              <w:t xml:space="preserve">                  变更后：</w:t>
            </w:r>
            <w:r>
              <w:rPr>
                <w:rFonts w:ascii="宋体"/>
                <w:b/>
                <w:sz w:val="21"/>
              </w:rPr>
              <w:t>重庆市江北区港安二路48号1幢3-1</w:t>
            </w:r>
            <w:r>
              <w:rPr>
                <w:rFonts w:hint="eastAsia" w:ascii="宋体"/>
                <w:b/>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E：29.12.00;33.02.01;34.05.00</w:t>
            </w:r>
          </w:p>
          <w:p>
            <w:pPr>
              <w:spacing w:line="260" w:lineRule="exact"/>
              <w:rPr>
                <w:rFonts w:ascii="宋体" w:hAnsi="宋体"/>
                <w:b/>
                <w:sz w:val="21"/>
                <w:szCs w:val="21"/>
              </w:rPr>
            </w:pPr>
            <w:r>
              <w:rPr>
                <w:rFonts w:ascii="宋体" w:hAnsi="宋体"/>
                <w:b/>
                <w:sz w:val="21"/>
                <w:szCs w:val="21"/>
              </w:rPr>
              <w:t>O：29.12.00;33.02.01;34.05.00</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rPr>
              <w:t>2022年6月17日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rPr>
              <w:t xml:space="preserve">2020年10月13日 </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hint="eastAsia" w:ascii="宋体" w:hAnsi="宋体"/>
          <w:b/>
          <w:sz w:val="21"/>
          <w:szCs w:val="21"/>
        </w:rPr>
        <w:t>计算机软件开发和销售；电力设备的研发；电力工器具、电力设备、安防产品的销售</w:t>
      </w:r>
      <w:r>
        <w:rPr>
          <w:rFonts w:hint="eastAsia" w:ascii="宋体" w:hAnsi="宋体"/>
          <w:b/>
          <w:sz w:val="21"/>
          <w:szCs w:val="21"/>
          <w:lang w:val="en-US" w:eastAsia="zh-CN"/>
        </w:rPr>
        <w:t>涉及的环境和职业健康安全管理活动。</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13</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23</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b/>
                <w:color w:val="000000" w:themeColor="text1"/>
                <w:sz w:val="20"/>
              </w:rPr>
            </w:pPr>
            <w:r>
              <w:rPr>
                <w:b/>
                <w:color w:val="000000" w:themeColor="text1"/>
                <w:sz w:val="20"/>
              </w:rPr>
              <w:t>1、</w:t>
            </w:r>
            <w:r>
              <w:rPr>
                <w:rFonts w:hint="eastAsia"/>
                <w:b/>
                <w:color w:val="000000" w:themeColor="text1"/>
                <w:sz w:val="20"/>
              </w:rPr>
              <w:t>组织及其环境的识别情况</w:t>
            </w:r>
          </w:p>
          <w:p>
            <w:pPr>
              <w:spacing w:line="240" w:lineRule="exact"/>
              <w:rPr>
                <w:rFonts w:ascii="宋体" w:hAnsi="宋体"/>
                <w:b/>
                <w:sz w:val="21"/>
                <w:szCs w:val="21"/>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b/>
                <w:color w:val="000000" w:themeColor="text1"/>
                <w:sz w:val="20"/>
              </w:rPr>
            </w:pPr>
            <w:r>
              <w:rPr>
                <w:b/>
                <w:color w:val="000000" w:themeColor="text1"/>
                <w:sz w:val="20"/>
              </w:rPr>
              <w:t>2、</w:t>
            </w:r>
            <w:r>
              <w:rPr>
                <w:rFonts w:hint="eastAsia"/>
                <w:b/>
                <w:color w:val="000000" w:themeColor="text1"/>
                <w:sz w:val="20"/>
              </w:rPr>
              <w:t>相关方需求和期望识别情况</w:t>
            </w:r>
          </w:p>
          <w:p>
            <w:pPr>
              <w:spacing w:line="240" w:lineRule="exact"/>
              <w:rPr>
                <w:rFonts w:ascii="宋体" w:hAnsi="宋体"/>
                <w:b/>
                <w:sz w:val="21"/>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color w:val="000000" w:themeColor="text1"/>
                <w:sz w:val="20"/>
              </w:rPr>
            </w:pPr>
            <w:r>
              <w:rPr>
                <w:b/>
                <w:color w:val="000000" w:themeColor="text1"/>
                <w:sz w:val="20"/>
              </w:rPr>
              <w:t>3.</w:t>
            </w:r>
            <w:r>
              <w:rPr>
                <w:rFonts w:hint="eastAsia"/>
                <w:b/>
                <w:color w:val="000000" w:themeColor="text1"/>
                <w:sz w:val="20"/>
              </w:rPr>
              <w:t>□</w:t>
            </w:r>
            <w:r>
              <w:rPr>
                <w:rFonts w:hint="eastAsia" w:ascii="宋体" w:hAnsi="宋体"/>
                <w:b/>
                <w:color w:val="000000" w:themeColor="text1"/>
                <w:sz w:val="20"/>
              </w:rPr>
              <w:t>质量/■环境/■职业健康安全方针（组织</w:t>
            </w:r>
            <w:r>
              <w:rPr>
                <w:rFonts w:hint="eastAsia"/>
                <w:b/>
                <w:color w:val="000000" w:themeColor="text1"/>
                <w:sz w:val="20"/>
              </w:rPr>
              <w:t>方针</w:t>
            </w:r>
            <w:r>
              <w:rPr>
                <w:rFonts w:hint="eastAsia" w:ascii="宋体" w:hAnsi="宋体"/>
                <w:b/>
                <w:color w:val="000000" w:themeColor="text1"/>
                <w:sz w:val="20"/>
              </w:rPr>
              <w:t>的适宜性/持续适宜性、方针的传达及职工的理解等）</w:t>
            </w:r>
          </w:p>
          <w:p>
            <w:pPr>
              <w:jc w:val="left"/>
              <w:rPr>
                <w:rFonts w:ascii="宋体" w:hAnsi="宋体"/>
                <w:color w:val="000000" w:themeColor="text1"/>
                <w:szCs w:val="22"/>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w:t>
            </w:r>
            <w:r>
              <w:rPr>
                <w:rFonts w:hint="eastAsia" w:ascii="宋体" w:hAnsi="宋体"/>
                <w:color w:val="000000" w:themeColor="text1"/>
                <w:szCs w:val="22"/>
              </w:rPr>
              <w:t xml:space="preserve">实现及动态管理，公司在管理体系换版时对管理方针进行了变更。环境管理方针：“遵循环境法规，立足污染预防，追求节能低碳，创建环保品牌；倡导以人为本，关爱员工健康，和谐持续发展，彰显社会责任”。职业健康安全管理方针： </w:t>
            </w:r>
          </w:p>
          <w:p>
            <w:pPr>
              <w:jc w:val="left"/>
              <w:rPr>
                <w:rFonts w:ascii="宋体" w:hAnsi="宋体"/>
                <w:color w:val="000000" w:themeColor="text1"/>
                <w:szCs w:val="22"/>
              </w:rPr>
            </w:pPr>
            <w:r>
              <w:rPr>
                <w:rFonts w:hint="eastAsia" w:ascii="宋体" w:hAnsi="宋体"/>
                <w:color w:val="000000" w:themeColor="text1"/>
                <w:szCs w:val="22"/>
              </w:rPr>
              <w:t>“安全守法、规避风险、关爱健康、持续改进”。</w:t>
            </w:r>
          </w:p>
          <w:p>
            <w:pPr>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4320" w:firstLineChars="1800"/>
              <w:rPr>
                <w:rFonts w:ascii="宋体" w:hAnsi="宋体"/>
                <w:b/>
                <w:sz w:val="21"/>
                <w:szCs w:val="2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5"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7"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color w:val="000000" w:themeColor="text1"/>
                <w:spacing w:val="-12"/>
                <w:sz w:val="20"/>
              </w:rPr>
            </w:pPr>
            <w:r>
              <w:rPr>
                <w:rFonts w:hint="eastAsia"/>
                <w:b/>
                <w:color w:val="000000" w:themeColor="text1"/>
                <w:sz w:val="20"/>
              </w:rPr>
              <w:t xml:space="preserve">6. </w:t>
            </w:r>
            <w:r>
              <w:rPr>
                <w:b/>
                <w:color w:val="000000" w:themeColor="text1"/>
                <w:spacing w:val="-12"/>
                <w:sz w:val="20"/>
              </w:rPr>
              <w:t>EMS</w:t>
            </w:r>
            <w:r>
              <w:rPr>
                <w:rFonts w:hint="eastAsia" w:ascii="宋体" w:hAnsi="宋体"/>
                <w:b/>
                <w:color w:val="000000" w:themeColor="text1"/>
                <w:spacing w:val="-12"/>
                <w:sz w:val="20"/>
              </w:rPr>
              <w:t>环境因素/</w:t>
            </w:r>
            <w:r>
              <w:rPr>
                <w:rFonts w:ascii="宋体" w:hAnsi="宋体"/>
                <w:b/>
                <w:color w:val="000000" w:themeColor="text1"/>
                <w:spacing w:val="-12"/>
                <w:sz w:val="20"/>
              </w:rPr>
              <w:t xml:space="preserve"> </w:t>
            </w:r>
          </w:p>
          <w:p>
            <w:pPr>
              <w:spacing w:line="300" w:lineRule="exact"/>
              <w:rPr>
                <w:rFonts w:ascii="宋体" w:hAnsi="宋体"/>
                <w:b/>
                <w:color w:val="000000" w:themeColor="text1"/>
                <w:spacing w:val="-8"/>
                <w:sz w:val="20"/>
              </w:rPr>
            </w:pPr>
            <w:r>
              <w:rPr>
                <w:rFonts w:hint="eastAsia" w:ascii="宋体" w:hAnsi="宋体"/>
                <w:b/>
                <w:color w:val="000000" w:themeColor="text1"/>
                <w:sz w:val="20"/>
              </w:rPr>
              <w:t>（</w:t>
            </w:r>
            <w:r>
              <w:rPr>
                <w:rFonts w:hint="eastAsia" w:ascii="宋体" w:hAnsi="宋体"/>
                <w:b/>
                <w:color w:val="000000" w:themeColor="text1"/>
                <w:spacing w:val="-8"/>
                <w:sz w:val="20"/>
              </w:rPr>
              <w:t>环境因素</w:t>
            </w:r>
            <w:r>
              <w:rPr>
                <w:rFonts w:hint="eastAsia" w:ascii="宋体" w:hAnsi="宋体"/>
                <w:b/>
                <w:color w:val="000000" w:themeColor="text1"/>
                <w:sz w:val="20"/>
              </w:rPr>
              <w:t>辨识是否充分、重要环境因素评价合理性，</w:t>
            </w:r>
            <w:r>
              <w:rPr>
                <w:rFonts w:hint="eastAsia" w:ascii="宋体" w:hAnsi="宋体"/>
                <w:b/>
                <w:color w:val="000000" w:themeColor="text1"/>
                <w:spacing w:val="-8"/>
                <w:sz w:val="20"/>
              </w:rPr>
              <w:t>以及环境因素动态变更的及时性等）</w:t>
            </w:r>
          </w:p>
          <w:p>
            <w:pPr>
              <w:spacing w:line="300" w:lineRule="exact"/>
              <w:ind w:firstLine="360" w:firstLineChars="150"/>
              <w:rPr>
                <w:rFonts w:ascii="宋体" w:hAnsi="宋体"/>
                <w:b/>
                <w:sz w:val="21"/>
                <w:szCs w:val="21"/>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color w:val="000000" w:themeColor="text1"/>
                <w:spacing w:val="-12"/>
                <w:sz w:val="20"/>
              </w:rPr>
            </w:pPr>
            <w:r>
              <w:rPr>
                <w:rFonts w:hint="eastAsia"/>
                <w:b/>
                <w:color w:val="000000" w:themeColor="text1"/>
                <w:spacing w:val="-10"/>
                <w:sz w:val="20"/>
              </w:rPr>
              <w:t xml:space="preserve">7. </w:t>
            </w:r>
            <w:r>
              <w:rPr>
                <w:b/>
                <w:color w:val="000000" w:themeColor="text1"/>
                <w:spacing w:val="-12"/>
                <w:sz w:val="20"/>
              </w:rPr>
              <w:t>OHSMS</w:t>
            </w:r>
            <w:r>
              <w:rPr>
                <w:rFonts w:hint="eastAsia" w:ascii="宋体" w:hAnsi="宋体"/>
                <w:b/>
                <w:color w:val="000000" w:themeColor="text1"/>
                <w:spacing w:val="-12"/>
                <w:sz w:val="20"/>
              </w:rPr>
              <w:t>职业健康安全危险源</w:t>
            </w:r>
          </w:p>
          <w:p>
            <w:pPr>
              <w:spacing w:line="300" w:lineRule="exact"/>
              <w:rPr>
                <w:rFonts w:ascii="宋体" w:hAnsi="宋体"/>
                <w:b/>
                <w:color w:val="000000" w:themeColor="text1"/>
                <w:spacing w:val="-8"/>
                <w:sz w:val="20"/>
              </w:rPr>
            </w:pPr>
            <w:r>
              <w:rPr>
                <w:rFonts w:hint="eastAsia" w:ascii="宋体" w:hAnsi="宋体"/>
                <w:b/>
                <w:color w:val="000000" w:themeColor="text1"/>
                <w:sz w:val="20"/>
              </w:rPr>
              <w:t>（</w:t>
            </w:r>
            <w:r>
              <w:rPr>
                <w:rFonts w:hint="eastAsia" w:ascii="宋体" w:hAnsi="宋体"/>
                <w:b/>
                <w:color w:val="000000" w:themeColor="text1"/>
                <w:spacing w:val="-8"/>
                <w:sz w:val="20"/>
              </w:rPr>
              <w:t>职业健康安全危险源</w:t>
            </w:r>
            <w:r>
              <w:rPr>
                <w:rFonts w:hint="eastAsia" w:ascii="宋体" w:hAnsi="宋体"/>
                <w:b/>
                <w:color w:val="000000" w:themeColor="text1"/>
                <w:sz w:val="20"/>
              </w:rPr>
              <w:t>辨识是否充分、风险评价合理性，</w:t>
            </w:r>
            <w:r>
              <w:rPr>
                <w:rFonts w:hint="eastAsia" w:ascii="宋体" w:hAnsi="宋体"/>
                <w:b/>
                <w:color w:val="000000" w:themeColor="text1"/>
                <w:spacing w:val="-8"/>
                <w:sz w:val="20"/>
              </w:rPr>
              <w:t>以及风险评价动态变更的及时性等）</w:t>
            </w:r>
          </w:p>
          <w:p>
            <w:pPr>
              <w:spacing w:line="300" w:lineRule="exact"/>
              <w:ind w:firstLine="480" w:firstLineChars="200"/>
              <w:rPr>
                <w:rFonts w:ascii="宋体" w:hAnsi="宋体"/>
                <w:b/>
                <w:sz w:val="21"/>
                <w:szCs w:val="21"/>
              </w:rPr>
            </w:pPr>
            <w:r>
              <w:rPr>
                <w:rFonts w:hint="eastAsia" w:ascii="宋体" w:hAnsi="宋体"/>
                <w:color w:val="000000" w:themeColor="text1"/>
              </w:rPr>
              <w:t>组织建立了危险源识别、评价控制程序，识别评价了危险源、风险相关的过程，评价出了重要危险源，与之相关的过程有研发、销售，针对重要危险源制定了管理方案。控制措施实施有效。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6"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4"/>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pPr>
            <w:r>
              <w:rPr>
                <w:rFonts w:hint="eastAsia"/>
              </w:rPr>
              <w:t>9. 目标、方案</w:t>
            </w:r>
          </w:p>
          <w:p>
            <w:pPr>
              <w:spacing w:line="300" w:lineRule="exact"/>
            </w:pPr>
            <w:r>
              <w:rPr>
                <w:rFonts w:hint="eastAsia"/>
              </w:rPr>
              <w:t>（在相关层次上建立可测量的目标，目标、方案的有效性，对质量目标的实现情况进行评价并叙述测量方法）</w:t>
            </w:r>
          </w:p>
          <w:p>
            <w:pPr>
              <w:spacing w:line="300" w:lineRule="exact"/>
              <w:ind w:firstLine="480" w:firstLineChars="200"/>
            </w:pPr>
            <w:r>
              <w:rPr>
                <w:rFonts w:hint="eastAsia"/>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spacing w:line="300" w:lineRule="exact"/>
              <w:ind w:firstLine="480" w:firstLineChars="200"/>
            </w:pPr>
            <w:r>
              <w:rPr>
                <w:rFonts w:hint="eastAsia"/>
              </w:rPr>
              <w:t>环境、职业健康安全目标：</w:t>
            </w:r>
          </w:p>
          <w:p>
            <w:pPr>
              <w:spacing w:line="300" w:lineRule="exact"/>
              <w:ind w:firstLine="480" w:firstLineChars="200"/>
              <w:rPr>
                <w:rFonts w:hint="eastAsia"/>
              </w:rPr>
            </w:pPr>
            <w:r>
              <w:rPr>
                <w:rFonts w:hint="eastAsia"/>
              </w:rPr>
              <w:t>1.对固废100%合规处理；</w:t>
            </w:r>
          </w:p>
          <w:p>
            <w:pPr>
              <w:spacing w:line="300" w:lineRule="exact"/>
              <w:ind w:firstLine="480" w:firstLineChars="200"/>
              <w:rPr>
                <w:rFonts w:hint="eastAsia"/>
              </w:rPr>
            </w:pPr>
            <w:r>
              <w:rPr>
                <w:rFonts w:hint="eastAsia"/>
              </w:rPr>
              <w:t>2.火灾事故发生数为0；</w:t>
            </w:r>
          </w:p>
          <w:p>
            <w:pPr>
              <w:spacing w:line="300" w:lineRule="exact"/>
              <w:ind w:firstLine="480" w:firstLineChars="200"/>
            </w:pPr>
            <w:r>
              <w:rPr>
                <w:rFonts w:hint="eastAsia"/>
              </w:rPr>
              <w:t>3.死亡事故发生数为0；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color w:val="000000" w:themeColor="text1"/>
                <w:sz w:val="20"/>
              </w:rPr>
            </w:pPr>
            <w:r>
              <w:rPr>
                <w:rFonts w:hint="eastAsia"/>
                <w:b/>
                <w:color w:val="000000" w:themeColor="text1"/>
                <w:sz w:val="20"/>
              </w:rPr>
              <w:t>10. 文件与记录控制 (</w:t>
            </w:r>
            <w:r>
              <w:rPr>
                <w:rFonts w:hint="eastAsia" w:ascii="宋体" w:hAnsi="宋体"/>
                <w:b/>
                <w:color w:val="000000" w:themeColor="text1"/>
                <w:sz w:val="20"/>
              </w:rPr>
              <w:t>文审修订后文件与标准的符合程度评价、</w:t>
            </w:r>
            <w:r>
              <w:rPr>
                <w:rFonts w:hint="eastAsia" w:ascii="宋体" w:hAnsi="宋体"/>
                <w:b/>
                <w:color w:val="000000" w:themeColor="text1"/>
                <w:spacing w:val="-4"/>
                <w:sz w:val="20"/>
              </w:rPr>
              <w:t>文件</w:t>
            </w:r>
            <w:r>
              <w:rPr>
                <w:rFonts w:hint="eastAsia" w:ascii="宋体" w:hAnsi="宋体"/>
                <w:b/>
                <w:color w:val="000000" w:themeColor="text1"/>
                <w:sz w:val="20"/>
              </w:rPr>
              <w:t>控制管理等)</w:t>
            </w:r>
          </w:p>
          <w:p>
            <w:pPr>
              <w:tabs>
                <w:tab w:val="left" w:pos="540"/>
              </w:tabs>
              <w:spacing w:line="240" w:lineRule="exact"/>
              <w:ind w:firstLine="240" w:firstLineChars="100"/>
              <w:rPr>
                <w:rFonts w:ascii="宋体" w:hAnsi="宋体"/>
                <w:b/>
                <w:sz w:val="21"/>
                <w:szCs w:val="21"/>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12</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日进行换版工作，由</w:t>
            </w:r>
            <w:r>
              <w:rPr>
                <w:rFonts w:hint="eastAsia" w:ascii="宋体" w:hAnsi="宋体" w:cs="宋体"/>
                <w:color w:val="000000" w:themeColor="text1"/>
                <w:lang w:val="en-US" w:eastAsia="zh-CN"/>
              </w:rPr>
              <w:t>B</w:t>
            </w:r>
            <w:r>
              <w:rPr>
                <w:rFonts w:hint="eastAsia" w:ascii="宋体" w:hAnsi="宋体" w:cs="宋体"/>
                <w:color w:val="000000" w:themeColor="text1"/>
              </w:rPr>
              <w:t>/0版更换为B/</w:t>
            </w:r>
            <w:r>
              <w:rPr>
                <w:rFonts w:hint="eastAsia" w:ascii="宋体" w:hAnsi="宋体" w:cs="宋体"/>
                <w:color w:val="000000" w:themeColor="text1"/>
                <w:lang w:val="en-US" w:eastAsia="zh-CN"/>
              </w:rPr>
              <w:t>1</w:t>
            </w:r>
            <w:r>
              <w:rPr>
                <w:rFonts w:hint="eastAsia" w:ascii="宋体" w:hAnsi="宋体" w:cs="宋体"/>
                <w:color w:val="000000" w:themeColor="text1"/>
              </w:rPr>
              <w:t>版并由总经理批准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b/>
                <w:color w:val="000000" w:themeColor="text1"/>
                <w:sz w:val="20"/>
              </w:rPr>
            </w:pPr>
            <w:r>
              <w:rPr>
                <w:rFonts w:hint="eastAsia" w:ascii="宋体" w:hAnsi="宋体"/>
                <w:b/>
                <w:color w:val="000000" w:themeColor="text1"/>
                <w:sz w:val="20"/>
              </w:rPr>
              <w:t>人力资源的简要说明</w:t>
            </w:r>
            <w:r>
              <w:rPr>
                <w:rFonts w:hint="eastAsia"/>
                <w:b/>
                <w:color w:val="000000" w:themeColor="text1"/>
                <w:sz w:val="20"/>
              </w:rPr>
              <w:t>.</w:t>
            </w:r>
            <w:r>
              <w:rPr>
                <w:rFonts w:hint="eastAsia" w:ascii="宋体" w:hAnsi="宋体"/>
                <w:b/>
                <w:color w:val="000000" w:themeColor="text1"/>
                <w:sz w:val="20"/>
              </w:rPr>
              <w:t>:</w:t>
            </w:r>
          </w:p>
          <w:p>
            <w:pPr>
              <w:spacing w:line="300" w:lineRule="exact"/>
              <w:ind w:firstLine="240" w:firstLineChars="100"/>
              <w:rPr>
                <w:rFonts w:ascii="宋体" w:hAnsi="宋体"/>
                <w:bCs/>
                <w:iCs/>
                <w:szCs w:val="22"/>
              </w:rPr>
            </w:pPr>
            <w:r>
              <w:rPr>
                <w:rFonts w:hint="eastAsia" w:ascii="宋体" w:hAnsi="宋体"/>
                <w:bCs/>
                <w:iCs/>
                <w:szCs w:val="22"/>
              </w:rPr>
              <w:t>组织按管理体系需求配置了充足的人员、设施、监视和测量设备等资源，并建立维持了计算机软件开发和销售；电力设备的研发；电力工器具、电力设备、安防产品的销售及相关服务运行环境，可以维持管理体系的正常运行。</w:t>
            </w:r>
          </w:p>
          <w:p>
            <w:pPr>
              <w:spacing w:line="300" w:lineRule="exact"/>
              <w:rPr>
                <w:rFonts w:ascii="宋体" w:hAnsi="宋体"/>
                <w:b/>
                <w:sz w:val="21"/>
                <w:szCs w:val="21"/>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0"/>
              </w:rPr>
            </w:pPr>
            <w:r>
              <w:rPr>
                <w:rFonts w:hint="eastAsia" w:ascii="宋体" w:hAnsi="宋体"/>
                <w:b/>
                <w:color w:val="000000" w:themeColor="text1"/>
                <w:sz w:val="20"/>
              </w:rPr>
              <w:t>设备设施（包括信息系统）、</w:t>
            </w:r>
            <w:r>
              <w:rPr>
                <w:rFonts w:hint="eastAsia" w:ascii="宋体" w:hAnsi="宋体" w:cs="宋体"/>
                <w:szCs w:val="21"/>
              </w:rPr>
              <w:t>办公场所面积</w:t>
            </w:r>
            <w:r>
              <w:rPr>
                <w:rFonts w:hint="eastAsia" w:ascii="宋体" w:hAnsi="宋体" w:cs="宋体"/>
                <w:szCs w:val="21"/>
                <w:lang w:val="en-US" w:eastAsia="zh-CN"/>
              </w:rPr>
              <w:t>1000</w:t>
            </w:r>
            <w:r>
              <w:rPr>
                <w:rFonts w:hint="eastAsia" w:ascii="宋体" w:hAnsi="宋体" w:cs="宋体"/>
                <w:szCs w:val="21"/>
              </w:rPr>
              <w:t>平方左右</w:t>
            </w:r>
            <w:r>
              <w:rPr>
                <w:rFonts w:hint="eastAsia" w:ascii="宋体" w:hAnsi="宋体" w:cs="宋体"/>
                <w:szCs w:val="21"/>
                <w:lang w:eastAsia="zh-CN"/>
              </w:rPr>
              <w:t>、</w:t>
            </w:r>
            <w:r>
              <w:rPr>
                <w:rFonts w:hint="eastAsia" w:ascii="宋体" w:hAnsi="宋体" w:cs="宋体"/>
                <w:szCs w:val="21"/>
                <w:lang w:val="en-US" w:eastAsia="zh-CN"/>
              </w:rPr>
              <w:t>库房面积300平方</w:t>
            </w:r>
            <w:r>
              <w:rPr>
                <w:rFonts w:hint="eastAsia" w:ascii="宋体" w:hAnsi="宋体" w:cs="宋体"/>
                <w:szCs w:val="21"/>
              </w:rPr>
              <w:t>。主要生产设备包括电脑、打印机、复印机、检测设备等设备，可以满足计算机软件开发、电力设备的研发及销售的需要。对设备按月方式进行点检维护保养，并实施。特种设备：无。公司未建立信息管理系统用于生产和服务。</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0"/>
              </w:rPr>
            </w:pPr>
            <w:r>
              <w:rPr>
                <w:rFonts w:hint="eastAsia" w:ascii="宋体" w:hAnsi="宋体"/>
                <w:b/>
                <w:color w:val="000000" w:themeColor="text1"/>
                <w:sz w:val="20"/>
              </w:rPr>
              <w:t>过程运行环境</w:t>
            </w:r>
          </w:p>
          <w:p>
            <w:pPr>
              <w:spacing w:line="240" w:lineRule="exact"/>
              <w:rPr>
                <w:rFonts w:ascii="宋体" w:hAnsi="宋体"/>
                <w:b/>
                <w:sz w:val="21"/>
                <w:szCs w:val="21"/>
              </w:rPr>
            </w:pPr>
            <w:r>
              <w:rPr>
                <w:rFonts w:hint="eastAsia" w:ascii="宋体" w:hAnsi="宋体" w:cs="宋体"/>
                <w:szCs w:val="21"/>
              </w:rPr>
              <w:t>办公、生产服务场所和内设备布置合理，通道畅通，照明设施齐全，均配备了消防设施等设施。办公室明亮，培训场所光线较充足。每月由行政部对工作环境进行定期检查。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0"/>
              </w:rPr>
            </w:pPr>
            <w:r>
              <w:rPr>
                <w:rFonts w:hint="eastAsia" w:ascii="宋体" w:hAnsi="宋体"/>
                <w:b/>
                <w:color w:val="000000" w:themeColor="text1"/>
                <w:sz w:val="20"/>
              </w:rPr>
              <w:t>监视和测量资源</w:t>
            </w:r>
          </w:p>
          <w:p>
            <w:pPr>
              <w:spacing w:line="240" w:lineRule="exact"/>
              <w:rPr>
                <w:rFonts w:ascii="宋体" w:hAnsi="宋体"/>
                <w:b/>
                <w:sz w:val="21"/>
                <w:szCs w:val="21"/>
              </w:rPr>
            </w:pPr>
            <w:r>
              <w:rPr>
                <w:rFonts w:hint="eastAsia" w:ascii="宋体" w:hAnsi="宋体" w:cs="宋体"/>
              </w:rPr>
              <w:t>配置有示波器、万用表和游标卡尺等，检测设备受控。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0"/>
              </w:rPr>
            </w:pPr>
            <w:r>
              <w:rPr>
                <w:rFonts w:hint="eastAsia" w:ascii="宋体" w:hAnsi="宋体"/>
                <w:b/>
                <w:color w:val="000000" w:themeColor="text1"/>
                <w:sz w:val="20"/>
              </w:rPr>
              <w:t>知识：</w:t>
            </w:r>
          </w:p>
          <w:p>
            <w:pPr>
              <w:spacing w:line="400" w:lineRule="exact"/>
              <w:ind w:firstLine="360"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0"/>
              </w:rPr>
            </w:pPr>
            <w:r>
              <w:rPr>
                <w:rFonts w:hint="eastAsia" w:ascii="宋体" w:hAnsi="宋体"/>
                <w:b/>
                <w:sz w:val="20"/>
              </w:rPr>
              <w:t>环保设施：</w:t>
            </w:r>
          </w:p>
          <w:p>
            <w:pPr>
              <w:spacing w:line="240" w:lineRule="exact"/>
              <w:rPr>
                <w:rFonts w:ascii="宋体" w:hAnsi="宋体"/>
                <w:b/>
                <w:sz w:val="21"/>
                <w:szCs w:val="21"/>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0"/>
              </w:rPr>
            </w:pPr>
            <w:r>
              <w:rPr>
                <w:rFonts w:hint="eastAsia" w:ascii="宋体" w:hAnsi="宋体"/>
                <w:b/>
                <w:sz w:val="20"/>
              </w:rPr>
              <w:t>职业健康安全设施：</w:t>
            </w:r>
          </w:p>
          <w:p>
            <w:pPr>
              <w:spacing w:line="240" w:lineRule="exact"/>
              <w:rPr>
                <w:rFonts w:ascii="宋体" w:hAnsi="宋体"/>
                <w:b/>
                <w:sz w:val="21"/>
                <w:szCs w:val="21"/>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5"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b/>
                <w:color w:val="000000" w:themeColor="text1"/>
                <w:sz w:val="20"/>
              </w:rPr>
            </w:pPr>
            <w:r>
              <w:rPr>
                <w:rFonts w:hint="eastAsia"/>
                <w:b/>
                <w:color w:val="000000" w:themeColor="text1"/>
                <w:sz w:val="20"/>
              </w:rPr>
              <w:t>1. 针对方针的管理职责评审</w:t>
            </w:r>
          </w:p>
          <w:p>
            <w:pPr>
              <w:spacing w:line="300" w:lineRule="exact"/>
              <w:ind w:left="1"/>
              <w:rPr>
                <w:b/>
                <w:color w:val="000000" w:themeColor="text1"/>
                <w:sz w:val="20"/>
              </w:rPr>
            </w:pPr>
            <w:r>
              <w:rPr>
                <w:rFonts w:hint="eastAsia"/>
                <w:b/>
                <w:color w:val="000000" w:themeColor="text1"/>
                <w:sz w:val="20"/>
              </w:rPr>
              <w:t>（包括针对组织宗旨，制定相关管理方针政策、确保方针为员工理解并在运营中实施，监视方针的实施并评审方针的适宜性）</w:t>
            </w:r>
          </w:p>
          <w:p>
            <w:pPr>
              <w:spacing w:line="300" w:lineRule="exact"/>
              <w:ind w:left="1"/>
              <w:rPr>
                <w:rFonts w:ascii="宋体" w:hAnsi="宋体"/>
                <w:b/>
                <w:sz w:val="21"/>
                <w:szCs w:val="21"/>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59" w:hanging="159" w:hangingChars="79"/>
              <w:rPr>
                <w:b/>
                <w:color w:val="000000" w:themeColor="text1"/>
                <w:sz w:val="20"/>
              </w:rPr>
            </w:pPr>
            <w:r>
              <w:rPr>
                <w:rFonts w:hint="eastAsia"/>
                <w:b/>
                <w:color w:val="000000" w:themeColor="text1"/>
                <w:sz w:val="20"/>
              </w:rPr>
              <w:t>2. 组织内部沟通的充分性与效果；（OHSMS员工参与风险管理/健康安全事务的关心和影响力；组织对外联络关注顾客的感受情况、</w:t>
            </w:r>
            <w:r>
              <w:rPr>
                <w:b/>
                <w:color w:val="000000" w:themeColor="text1"/>
                <w:sz w:val="20"/>
              </w:rPr>
              <w:t>信息交流</w:t>
            </w:r>
            <w:r>
              <w:rPr>
                <w:rFonts w:hint="eastAsia"/>
                <w:b/>
                <w:color w:val="000000" w:themeColor="text1"/>
                <w:sz w:val="20"/>
              </w:rPr>
              <w:t>包括通报相关方的情况等）</w:t>
            </w:r>
          </w:p>
          <w:p>
            <w:pPr>
              <w:spacing w:line="240" w:lineRule="exact"/>
              <w:rPr>
                <w:rFonts w:ascii="楷体_GB2312" w:eastAsia="楷体_GB2312"/>
                <w:b/>
                <w:color w:val="000000" w:themeColor="text1"/>
                <w:sz w:val="20"/>
              </w:rPr>
            </w:pPr>
          </w:p>
          <w:p>
            <w:pPr>
              <w:spacing w:line="240" w:lineRule="exact"/>
              <w:rPr>
                <w:rFonts w:ascii="楷体_GB2312" w:eastAsia="楷体_GB2312"/>
                <w:b/>
                <w:color w:val="000000" w:themeColor="text1"/>
                <w:sz w:val="20"/>
              </w:rPr>
            </w:pPr>
            <w:r>
              <w:rPr>
                <w:rFonts w:hint="eastAsia" w:ascii="楷体_GB2312" w:eastAsia="楷体_GB2312"/>
                <w:b/>
                <w:color w:val="000000" w:themeColor="text1"/>
                <w:sz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rPr>
            </w:pPr>
            <w:r>
              <w:rPr>
                <w:rFonts w:hint="eastAsia" w:ascii="楷体_GB2312" w:eastAsia="楷体_GB2312"/>
                <w:b/>
                <w:color w:val="000000" w:themeColor="text1"/>
                <w:sz w:val="20"/>
              </w:rPr>
              <w:t xml:space="preserve">                内部沟通的效果：良好</w:t>
            </w:r>
          </w:p>
          <w:p>
            <w:pPr>
              <w:spacing w:line="240" w:lineRule="exact"/>
              <w:rPr>
                <w:rFonts w:ascii="楷体_GB2312" w:eastAsia="楷体_GB2312"/>
                <w:b/>
                <w:color w:val="000000" w:themeColor="text1"/>
                <w:sz w:val="20"/>
              </w:rPr>
            </w:pPr>
          </w:p>
          <w:p>
            <w:pPr>
              <w:spacing w:line="240" w:lineRule="exact"/>
              <w:rPr>
                <w:rFonts w:ascii="楷体_GB2312" w:eastAsia="楷体_GB2312"/>
                <w:b/>
                <w:color w:val="000000" w:themeColor="text1"/>
                <w:sz w:val="20"/>
              </w:rPr>
            </w:pPr>
            <w:r>
              <w:rPr>
                <w:rFonts w:hint="eastAsia" w:ascii="楷体_GB2312" w:eastAsia="楷体_GB2312"/>
                <w:b/>
                <w:color w:val="000000" w:themeColor="text1"/>
                <w:sz w:val="20"/>
              </w:rPr>
              <w:t>组织对外联络，关注顾客的感受情况（QMS）：</w:t>
            </w:r>
          </w:p>
          <w:p>
            <w:pPr>
              <w:spacing w:line="240" w:lineRule="exact"/>
              <w:rPr>
                <w:rFonts w:ascii="楷体_GB2312" w:eastAsia="楷体_GB2312"/>
                <w:b/>
                <w:color w:val="000000" w:themeColor="text1"/>
                <w:sz w:val="20"/>
              </w:rPr>
            </w:pPr>
          </w:p>
          <w:p>
            <w:pPr>
              <w:spacing w:line="240" w:lineRule="exact"/>
              <w:rPr>
                <w:rFonts w:ascii="楷体_GB2312" w:eastAsia="楷体_GB2312"/>
                <w:b/>
                <w:color w:val="000000" w:themeColor="text1"/>
                <w:sz w:val="20"/>
              </w:rPr>
            </w:pPr>
            <w:r>
              <w:rPr>
                <w:rFonts w:hint="eastAsia" w:ascii="楷体_GB2312" w:eastAsia="楷体_GB2312"/>
                <w:b/>
                <w:color w:val="000000" w:themeColor="text1"/>
                <w:sz w:val="20"/>
              </w:rPr>
              <w:t>外部信息的接收、成文并答复的情况（E、S填写）：对会议通知和规定等登记处理</w:t>
            </w:r>
          </w:p>
          <w:p>
            <w:pPr>
              <w:spacing w:line="240" w:lineRule="exact"/>
              <w:rPr>
                <w:rFonts w:ascii="楷体_GB2312" w:eastAsia="楷体_GB2312"/>
                <w:b/>
                <w:color w:val="000000" w:themeColor="text1"/>
                <w:sz w:val="20"/>
              </w:rPr>
            </w:pPr>
          </w:p>
          <w:p>
            <w:pPr>
              <w:spacing w:line="240" w:lineRule="exact"/>
              <w:rPr>
                <w:szCs w:val="21"/>
              </w:rPr>
            </w:pPr>
            <w:r>
              <w:rPr>
                <w:rFonts w:hint="eastAsia" w:ascii="楷体_GB2312" w:eastAsia="楷体_GB2312"/>
                <w:b/>
                <w:color w:val="000000" w:themeColor="text1"/>
                <w:sz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rPr>
            </w:pPr>
          </w:p>
          <w:p>
            <w:pPr>
              <w:spacing w:line="240" w:lineRule="exact"/>
              <w:rPr>
                <w:rFonts w:ascii="楷体_GB2312" w:eastAsia="楷体_GB2312"/>
                <w:b/>
                <w:color w:val="000000" w:themeColor="text1"/>
                <w:sz w:val="20"/>
              </w:rPr>
            </w:pPr>
            <w:r>
              <w:rPr>
                <w:rFonts w:hint="eastAsia" w:ascii="楷体_GB2312" w:eastAsia="楷体_GB2312"/>
                <w:b/>
                <w:color w:val="000000" w:themeColor="text1"/>
                <w:sz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宋体" w:hAnsi="宋体"/>
                <w:b/>
                <w:sz w:val="2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3.  QMS 组织对重要过程实施控制的结果</w:t>
            </w:r>
          </w:p>
          <w:p>
            <w:pPr>
              <w:spacing w:line="240" w:lineRule="exact"/>
              <w:ind w:left="201" w:leftChars="42" w:hanging="100" w:hangingChars="50"/>
              <w:rPr>
                <w:b/>
                <w:color w:val="000000" w:themeColor="text1"/>
                <w:sz w:val="20"/>
              </w:rPr>
            </w:pPr>
            <w:r>
              <w:rPr>
                <w:rFonts w:hint="eastAsia"/>
                <w:b/>
                <w:color w:val="000000" w:themeColor="text1"/>
                <w:sz w:val="20"/>
              </w:rPr>
              <w:t>(包括对QMS关键工序(过程)、特殊过程控制;评价组织对过程实施控制情况/)</w:t>
            </w:r>
          </w:p>
          <w:p>
            <w:pPr>
              <w:spacing w:line="240" w:lineRule="exact"/>
              <w:rPr>
                <w:rFonts w:ascii="宋体" w:hAnsi="宋体"/>
                <w:b/>
                <w:sz w:val="21"/>
                <w:szCs w:val="21"/>
              </w:rPr>
            </w:pPr>
            <w:r>
              <w:rPr>
                <w:b/>
                <w:color w:val="000000" w:themeColor="text1"/>
                <w:sz w:val="20"/>
              </w:rPr>
              <w:t xml:space="preserve"> </w:t>
            </w:r>
            <w:r>
              <w:rPr>
                <w:rFonts w:hint="eastAsia"/>
                <w:b/>
                <w:color w:val="000000" w:themeColor="text1"/>
                <w:sz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themeColor="text1"/>
                <w:sz w:val="20"/>
              </w:rPr>
            </w:pPr>
            <w:r>
              <w:rPr>
                <w:rFonts w:hint="eastAsia"/>
                <w:b/>
                <w:color w:val="000000" w:themeColor="text1"/>
                <w:sz w:val="20"/>
              </w:rPr>
              <w:t>4.QMS产品/服务的标准、协议/规范的有效性以及产品/服务质量符合要求，向顾客稳定提供合格产品的情况；</w:t>
            </w:r>
          </w:p>
          <w:p>
            <w:pPr>
              <w:spacing w:line="240" w:lineRule="exact"/>
              <w:rPr>
                <w:color w:val="000000" w:themeColor="text1"/>
                <w:sz w:val="20"/>
              </w:rPr>
            </w:pPr>
            <w:r>
              <w:rPr>
                <w:rFonts w:hint="eastAsia"/>
                <w:b/>
                <w:color w:val="000000" w:themeColor="text1"/>
                <w:sz w:val="20"/>
              </w:rPr>
              <w:t>(应说明相关证据)：</w:t>
            </w:r>
          </w:p>
          <w:p>
            <w:pPr>
              <w:spacing w:line="240" w:lineRule="exact"/>
              <w:ind w:firstLine="3815" w:firstLineChars="1900"/>
              <w:rPr>
                <w:rFonts w:ascii="宋体" w:hAnsi="宋体"/>
                <w:b/>
                <w:sz w:val="21"/>
                <w:szCs w:val="21"/>
              </w:rPr>
            </w:pPr>
            <w:r>
              <w:rPr>
                <w:rFonts w:hint="eastAsia"/>
                <w:b/>
                <w:color w:val="000000" w:themeColor="text1"/>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5 .QMS国家/地方技术监督部门监测（检测、委托检测、定期监测、型式试验等）、抽查结果</w:t>
            </w:r>
          </w:p>
          <w:p>
            <w:pPr>
              <w:spacing w:line="300" w:lineRule="exact"/>
              <w:ind w:firstLine="197" w:firstLineChars="98"/>
              <w:rPr>
                <w:b/>
                <w:color w:val="000000" w:themeColor="text1"/>
                <w:sz w:val="20"/>
              </w:rPr>
            </w:pPr>
            <w:r>
              <w:rPr>
                <w:rFonts w:hint="eastAsia"/>
                <w:b/>
                <w:color w:val="000000" w:themeColor="text1"/>
                <w:sz w:val="20"/>
              </w:rPr>
              <w:t>（附相关证据）：</w:t>
            </w:r>
          </w:p>
          <w:p>
            <w:pPr>
              <w:spacing w:line="300" w:lineRule="exact"/>
              <w:ind w:firstLine="3805" w:firstLineChars="1895"/>
              <w:rPr>
                <w:rFonts w:ascii="宋体" w:hAnsi="宋体"/>
                <w:b/>
                <w:sz w:val="21"/>
                <w:szCs w:val="21"/>
              </w:rPr>
            </w:pPr>
            <w:r>
              <w:rPr>
                <w:rFonts w:hint="eastAsia"/>
                <w:b/>
                <w:color w:val="000000" w:themeColor="text1"/>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pacing w:val="-8"/>
                <w:sz w:val="20"/>
              </w:rPr>
            </w:pPr>
            <w:r>
              <w:rPr>
                <w:rFonts w:hint="eastAsia"/>
                <w:b/>
                <w:color w:val="000000" w:themeColor="text1"/>
                <w:sz w:val="20"/>
              </w:rPr>
              <w:t xml:space="preserve">6. </w:t>
            </w:r>
            <w:r>
              <w:rPr>
                <w:rFonts w:hint="eastAsia"/>
                <w:b/>
                <w:color w:val="000000" w:themeColor="text1"/>
                <w:spacing w:val="-8"/>
                <w:sz w:val="20"/>
              </w:rPr>
              <w:t>不合格品/项的识别、控制：</w:t>
            </w:r>
          </w:p>
          <w:p>
            <w:pPr>
              <w:spacing w:line="240" w:lineRule="exact"/>
              <w:ind w:firstLine="3815" w:firstLineChars="1900"/>
              <w:rPr>
                <w:rFonts w:ascii="宋体" w:hAnsi="宋体"/>
                <w:b/>
                <w:sz w:val="21"/>
                <w:szCs w:val="21"/>
              </w:rPr>
            </w:pPr>
            <w:r>
              <w:rPr>
                <w:rFonts w:hint="eastAsia"/>
                <w:b/>
                <w:color w:val="000000" w:themeColor="text1"/>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7. EMS组织对重要环境因素实施控制的结果</w:t>
            </w:r>
          </w:p>
          <w:p>
            <w:pPr>
              <w:spacing w:line="240" w:lineRule="exact"/>
              <w:rPr>
                <w:b/>
                <w:color w:val="000000" w:themeColor="text1"/>
                <w:sz w:val="20"/>
              </w:rPr>
            </w:pPr>
            <w:r>
              <w:rPr>
                <w:rFonts w:hint="eastAsia"/>
                <w:b/>
                <w:color w:val="000000" w:themeColor="text1"/>
                <w:sz w:val="20"/>
              </w:rPr>
              <w:t>（EMS对重要环境因素控制，重大环境因素对周边环境产生的影响及控制;对相关方施加影响）</w:t>
            </w:r>
          </w:p>
          <w:p>
            <w:pPr>
              <w:tabs>
                <w:tab w:val="left" w:pos="2552"/>
              </w:tabs>
              <w:spacing w:line="360" w:lineRule="exact"/>
              <w:ind w:firstLine="360" w:firstLineChars="150"/>
              <w:rPr>
                <w:rFonts w:ascii="宋体" w:hAnsi="宋体"/>
                <w:b/>
                <w:sz w:val="21"/>
                <w:szCs w:val="21"/>
              </w:rPr>
            </w:pPr>
            <w:r>
              <w:rPr>
                <w:rFonts w:hint="eastAsia" w:asciiTheme="minorEastAsia" w:hAnsiTheme="minorEastAsia" w:eastAsiaTheme="minor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8. OHS 组织对不可接受风险实施控制的结果</w:t>
            </w:r>
          </w:p>
          <w:p>
            <w:pPr>
              <w:tabs>
                <w:tab w:val="left" w:pos="2552"/>
              </w:tabs>
              <w:spacing w:line="360" w:lineRule="exact"/>
              <w:ind w:firstLine="360" w:firstLineChars="150"/>
              <w:rPr>
                <w:rFonts w:ascii="宋体" w:hAnsi="宋体"/>
                <w:b/>
                <w:sz w:val="21"/>
                <w:szCs w:val="21"/>
              </w:rPr>
            </w:pPr>
            <w:r>
              <w:rPr>
                <w:rFonts w:hint="eastAsia" w:asciiTheme="minorEastAsia" w:hAnsiTheme="minorEastAsia" w:eastAsiaTheme="minorEastAsia"/>
                <w:bCs/>
                <w:iCs/>
              </w:rPr>
              <w:t>组织建立了危险源识别、评价控制程序，识别评价了危险源、风险相关的过程，评价出了重要危险源（触电和潜在火灾），与之相关的过程有设计、销售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01" w:hanging="201" w:hangingChars="100"/>
              <w:rPr>
                <w:b/>
                <w:color w:val="000000" w:themeColor="text1"/>
                <w:sz w:val="20"/>
              </w:rPr>
            </w:pPr>
            <w:r>
              <w:rPr>
                <w:rFonts w:hint="eastAsia"/>
                <w:b/>
                <w:color w:val="000000" w:themeColor="text1"/>
                <w:sz w:val="20"/>
              </w:rPr>
              <w:t xml:space="preserve">9. 应急准备与相应活动的演练及对预案可行性的评价(当有规定时) </w:t>
            </w:r>
          </w:p>
          <w:p>
            <w:pPr>
              <w:spacing w:line="240" w:lineRule="exact"/>
              <w:rPr>
                <w:rFonts w:ascii="宋体" w:hAnsi="宋体"/>
                <w:b/>
                <w:sz w:val="21"/>
                <w:szCs w:val="21"/>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0" w:hanging="100" w:hangingChars="50"/>
              <w:rPr>
                <w:b/>
                <w:color w:val="000000" w:themeColor="text1"/>
                <w:sz w:val="20"/>
              </w:rPr>
            </w:pPr>
            <w:r>
              <w:rPr>
                <w:rFonts w:hint="eastAsia"/>
                <w:b/>
                <w:color w:val="000000" w:themeColor="text1"/>
                <w:sz w:val="20"/>
              </w:rPr>
              <w:t>1. .对质量/环境/职业健康安全目标指标进行定期监测/检查情况</w:t>
            </w:r>
            <w:r>
              <w:rPr>
                <w:rFonts w:hint="eastAsia"/>
                <w:b/>
                <w:sz w:val="20"/>
              </w:rPr>
              <w:t>（适用时）</w:t>
            </w:r>
          </w:p>
          <w:p>
            <w:pPr>
              <w:spacing w:line="240" w:lineRule="exact"/>
              <w:ind w:firstLine="120" w:firstLineChars="50"/>
              <w:rPr>
                <w:rFonts w:ascii="宋体" w:hAnsi="宋体"/>
                <w:b/>
                <w:sz w:val="21"/>
                <w:szCs w:val="21"/>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w:t>
            </w:r>
            <w:r>
              <w:rPr>
                <w:rFonts w:hint="eastAsia" w:ascii="宋体" w:hAnsi="宋体" w:cs="宋体"/>
                <w:color w:val="000000"/>
                <w:szCs w:val="21"/>
                <w:lang w:val="en-US" w:eastAsia="zh-CN"/>
              </w:rPr>
              <w:t>1</w:t>
            </w:r>
            <w:r>
              <w:rPr>
                <w:rFonts w:hint="eastAsia" w:ascii="宋体" w:hAnsi="宋体" w:cs="宋体"/>
                <w:color w:val="000000"/>
                <w:szCs w:val="21"/>
              </w:rPr>
              <w:t>年1-</w:t>
            </w:r>
            <w:r>
              <w:rPr>
                <w:rFonts w:hint="eastAsia" w:ascii="宋体" w:hAnsi="宋体" w:cs="宋体"/>
                <w:color w:val="000000"/>
                <w:szCs w:val="21"/>
                <w:lang w:val="en-US" w:eastAsia="zh-CN"/>
              </w:rPr>
              <w:t>6</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0" w:hanging="100" w:hangingChars="50"/>
              <w:rPr>
                <w:b/>
                <w:color w:val="000000" w:themeColor="text1"/>
                <w:sz w:val="20"/>
              </w:rPr>
            </w:pPr>
            <w:r>
              <w:rPr>
                <w:rFonts w:hint="eastAsia"/>
                <w:b/>
                <w:color w:val="000000" w:themeColor="text1"/>
                <w:sz w:val="20"/>
              </w:rPr>
              <w:t>2.顾客满意：</w:t>
            </w:r>
          </w:p>
          <w:p>
            <w:pPr>
              <w:spacing w:line="240" w:lineRule="exact"/>
              <w:ind w:firstLine="4080" w:firstLineChars="1700"/>
              <w:rPr>
                <w:rFonts w:ascii="宋体" w:hAnsi="宋体"/>
                <w:b/>
                <w:sz w:val="21"/>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color w:val="000000" w:themeColor="text1"/>
                <w:sz w:val="20"/>
                <w:highlight w:val="none"/>
              </w:rPr>
            </w:pPr>
            <w:r>
              <w:rPr>
                <w:rFonts w:hint="eastAsia"/>
                <w:b/>
                <w:color w:val="000000" w:themeColor="text1"/>
                <w:sz w:val="20"/>
                <w:highlight w:val="none"/>
              </w:rPr>
              <w:t>3. 内审（包括内审策划审核方案中考虑拟审核的过程和区域的状况和重要性）</w:t>
            </w:r>
          </w:p>
          <w:p>
            <w:pPr>
              <w:spacing w:line="240" w:lineRule="exact"/>
              <w:rPr>
                <w:rFonts w:ascii="宋体" w:hAnsi="宋体"/>
                <w:b/>
                <w:sz w:val="21"/>
                <w:szCs w:val="21"/>
                <w:highlight w:val="none"/>
              </w:rPr>
            </w:pPr>
            <w:r>
              <w:rPr>
                <w:rFonts w:hint="eastAsia" w:ascii="宋体" w:hAnsi="宋体"/>
                <w:szCs w:val="21"/>
                <w:highlight w:val="none"/>
              </w:rPr>
              <w:t>建立有《内部审核控制程序》，规定了内审频次一年一次，内审时间：20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9</w:t>
            </w:r>
            <w:r>
              <w:rPr>
                <w:rFonts w:hint="eastAsia" w:ascii="宋体" w:hAnsi="宋体"/>
                <w:szCs w:val="21"/>
                <w:highlight w:val="none"/>
              </w:rPr>
              <w:t>日</w:t>
            </w:r>
            <w:r>
              <w:rPr>
                <w:rFonts w:hint="eastAsia" w:ascii="宋体" w:hAnsi="宋体"/>
                <w:szCs w:val="21"/>
                <w:highlight w:val="none"/>
                <w:lang w:val="en-US" w:eastAsia="zh-CN"/>
              </w:rPr>
              <w:t>-10日</w:t>
            </w:r>
            <w:r>
              <w:rPr>
                <w:rFonts w:hint="eastAsia" w:ascii="宋体" w:hAnsi="宋体"/>
                <w:szCs w:val="21"/>
                <w:highlight w:val="none"/>
              </w:rPr>
              <w:t>，拟定了审核实施表，明确了内审范围，内审人员经培训合格上岗，能力满足要求，未出现审核本部门情况，内审不符合项1项，涉及行政部E/S7.2条款，不符合描述为“2021年2月，有培训记录，但是末对培训效果进行评价”，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color w:val="000000" w:themeColor="text1"/>
                <w:sz w:val="20"/>
                <w:highlight w:val="none"/>
              </w:rPr>
            </w:pPr>
            <w:r>
              <w:rPr>
                <w:rFonts w:hint="eastAsia"/>
                <w:b/>
                <w:color w:val="000000" w:themeColor="text1"/>
                <w:sz w:val="20"/>
                <w:highlight w:val="none"/>
              </w:rPr>
              <w:t>4.管理评审（管理评审体系变更需求，纠正和预防措施、体系有效性等）</w:t>
            </w:r>
          </w:p>
          <w:p>
            <w:pPr>
              <w:spacing w:line="240" w:lineRule="exact"/>
              <w:rPr>
                <w:rFonts w:ascii="宋体" w:hAnsi="宋体"/>
                <w:b/>
                <w:sz w:val="21"/>
                <w:szCs w:val="21"/>
                <w:highlight w:val="none"/>
              </w:rPr>
            </w:pPr>
            <w:r>
              <w:rPr>
                <w:rFonts w:hint="eastAsia" w:ascii="宋体" w:hAnsi="宋体" w:cs="宋体"/>
                <w:szCs w:val="21"/>
                <w:highlight w:val="none"/>
              </w:rPr>
              <w:t>管理评审频次为一年一次、本次管理评审于</w:t>
            </w:r>
            <w:r>
              <w:rPr>
                <w:rFonts w:hint="eastAsia" w:ascii="宋体" w:hAnsi="宋体"/>
                <w:szCs w:val="21"/>
                <w:highlight w:val="none"/>
              </w:rPr>
              <w:t>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22</w:t>
            </w:r>
            <w:r>
              <w:rPr>
                <w:rFonts w:hint="eastAsia" w:ascii="宋体" w:hAnsi="宋体"/>
                <w:szCs w:val="21"/>
                <w:highlight w:val="none"/>
              </w:rPr>
              <w:t>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5.  EMS是否按规定对主要污染物（污水、废气、噪声、废渣等）及排放实施了例行的监视或测量，结果是否满足相关要求？</w:t>
            </w:r>
          </w:p>
          <w:p>
            <w:pPr>
              <w:spacing w:line="240" w:lineRule="exact"/>
              <w:rPr>
                <w:rFonts w:ascii="宋体" w:hAnsi="宋体"/>
                <w:b/>
                <w:sz w:val="21"/>
                <w:szCs w:val="21"/>
              </w:rPr>
            </w:pPr>
            <w:r>
              <w:rPr>
                <w:rFonts w:hint="eastAsia"/>
                <w:sz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 xml:space="preserve">国家/地方环保部门监测结果、新改扩建项目符合环评报告、三同时验收报告要求情况及措施 </w:t>
            </w:r>
          </w:p>
          <w:p>
            <w:pPr>
              <w:spacing w:line="240" w:lineRule="exact"/>
              <w:rPr>
                <w:rFonts w:ascii="宋体" w:hAnsi="宋体"/>
                <w:b/>
                <w:sz w:val="21"/>
                <w:szCs w:val="21"/>
              </w:rPr>
            </w:pPr>
            <w:r>
              <w:rPr>
                <w:rFonts w:hint="eastAsia"/>
                <w:sz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color w:val="000000" w:themeColor="text1"/>
                <w:sz w:val="20"/>
              </w:rPr>
            </w:pPr>
            <w:r>
              <w:rPr>
                <w:rFonts w:hint="eastAsia"/>
                <w:b/>
                <w:color w:val="000000" w:themeColor="text1"/>
                <w:sz w:val="20"/>
              </w:rPr>
              <w:t>7. OHSMS是否按规定对职业健康安全项目进行定期测量，结果是否满足相关要求：</w:t>
            </w:r>
          </w:p>
          <w:p>
            <w:pPr>
              <w:spacing w:line="240" w:lineRule="exact"/>
              <w:rPr>
                <w:rFonts w:ascii="宋体" w:hAnsi="宋体"/>
                <w:b/>
                <w:sz w:val="21"/>
                <w:szCs w:val="21"/>
              </w:rPr>
            </w:pPr>
            <w:r>
              <w:rPr>
                <w:rFonts w:hint="eastAsia"/>
                <w:sz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8.OHSMS国家/地方职业健康安全部门监督检查情况及措施</w:t>
            </w:r>
          </w:p>
          <w:p>
            <w:pPr>
              <w:spacing w:line="240" w:lineRule="exact"/>
              <w:rPr>
                <w:rFonts w:ascii="宋体" w:hAnsi="宋体"/>
                <w:b/>
                <w:sz w:val="21"/>
                <w:szCs w:val="21"/>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b/>
                <w:sz w:val="20"/>
              </w:rPr>
            </w:pPr>
            <w:r>
              <w:rPr>
                <w:rFonts w:hint="eastAsia"/>
                <w:b/>
                <w:sz w:val="20"/>
              </w:rPr>
              <w:t>9. 其他能够标明组织绩效、信誉的证据/信息：</w:t>
            </w:r>
          </w:p>
          <w:p>
            <w:pPr>
              <w:widowControl/>
              <w:spacing w:line="240" w:lineRule="exact"/>
              <w:rPr>
                <w:rFonts w:ascii="宋体" w:hAnsi="宋体"/>
                <w:b/>
                <w:sz w:val="21"/>
                <w:szCs w:val="21"/>
              </w:rPr>
            </w:pPr>
            <w:r>
              <w:rPr>
                <w:rFonts w:hint="eastAsia"/>
                <w:b/>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b/>
                <w:color w:val="000000" w:themeColor="text1"/>
                <w:sz w:val="20"/>
              </w:rPr>
            </w:pPr>
            <w:r>
              <w:rPr>
                <w:rFonts w:hint="eastAsia"/>
                <w:b/>
                <w:color w:val="000000" w:themeColor="text1"/>
                <w:sz w:val="20"/>
              </w:rPr>
              <w:t>1 纠正/预防措施的实施及效果</w:t>
            </w:r>
            <w:r>
              <w:rPr>
                <w:rFonts w:hint="eastAsia"/>
                <w:b/>
                <w:color w:val="000000" w:themeColor="text1"/>
                <w:spacing w:val="-8"/>
                <w:sz w:val="20"/>
              </w:rPr>
              <w:t>;</w:t>
            </w:r>
          </w:p>
          <w:p>
            <w:pPr>
              <w:spacing w:line="400" w:lineRule="exact"/>
              <w:ind w:firstLine="480" w:firstLineChars="200"/>
              <w:rPr>
                <w:rFonts w:ascii="宋体" w:hAnsi="宋体"/>
                <w:b/>
                <w:sz w:val="21"/>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ind w:firstLine="422" w:firstLineChars="200"/>
              <w:rPr>
                <w:rFonts w:ascii="宋体" w:hAnsi="宋体"/>
                <w:b/>
                <w:sz w:val="21"/>
                <w:szCs w:val="21"/>
              </w:rPr>
            </w:pPr>
            <w:r>
              <w:rPr>
                <w:rFonts w:hint="eastAsia" w:ascii="宋体" w:hAnsi="宋体"/>
                <w:b/>
                <w:sz w:val="21"/>
                <w:szCs w:val="21"/>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rPr>
                <w:rFonts w:ascii="宋体" w:hAnsi="宋体"/>
                <w:b/>
                <w:sz w:val="21"/>
                <w:szCs w:val="21"/>
              </w:rPr>
            </w:pPr>
            <w:r>
              <w:rPr>
                <w:rFonts w:hint="eastAsia" w:ascii="宋体" w:hAnsi="宋体"/>
                <w:b/>
                <w:sz w:val="21"/>
                <w:szCs w:val="21"/>
              </w:rPr>
              <w:t>创新情况：</w:t>
            </w:r>
          </w:p>
          <w:p>
            <w:pPr>
              <w:spacing w:line="240" w:lineRule="exact"/>
              <w:ind w:firstLine="422" w:firstLineChars="200"/>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r>
              <w:rPr>
                <w:rFonts w:hint="eastAsia"/>
                <w:sz w:val="21"/>
                <w:szCs w:val="22"/>
              </w:rPr>
              <w:t>上次不符合为</w:t>
            </w:r>
            <w:r>
              <w:rPr>
                <w:rFonts w:hint="eastAsia"/>
                <w:sz w:val="21"/>
                <w:szCs w:val="22"/>
                <w:lang w:val="en-US" w:eastAsia="zh-CN"/>
              </w:rPr>
              <w:t>行政</w:t>
            </w:r>
            <w:r>
              <w:rPr>
                <w:rFonts w:hint="eastAsia"/>
                <w:sz w:val="21"/>
                <w:szCs w:val="22"/>
              </w:rPr>
              <w:t>部E</w:t>
            </w:r>
            <w:r>
              <w:rPr>
                <w:rFonts w:hint="eastAsia"/>
                <w:sz w:val="21"/>
                <w:szCs w:val="22"/>
                <w:lang w:val="en-US" w:eastAsia="zh-CN"/>
              </w:rPr>
              <w:t>/S7.2</w:t>
            </w:r>
            <w:r>
              <w:rPr>
                <w:rFonts w:hint="eastAsia"/>
                <w:sz w:val="21"/>
                <w:szCs w:val="22"/>
              </w:rPr>
              <w:t>条款，经本次审核验证均整改且无类似不符合情况出现。</w:t>
            </w:r>
          </w:p>
        </w:tc>
      </w:tr>
    </w:tbl>
    <w:p>
      <w:pPr>
        <w:tabs>
          <w:tab w:val="left" w:pos="645"/>
        </w:tabs>
        <w:spacing w:after="163" w:afterLines="50" w:line="360" w:lineRule="exact"/>
        <w:rPr>
          <w:b/>
          <w:sz w:val="26"/>
          <w:szCs w:val="26"/>
        </w:rPr>
      </w:pPr>
    </w:p>
    <w:p>
      <w:pPr>
        <w:numPr>
          <w:ilvl w:val="0"/>
          <w:numId w:val="4"/>
        </w:numPr>
        <w:tabs>
          <w:tab w:val="left" w:pos="645"/>
        </w:tabs>
        <w:spacing w:after="163" w:afterLines="50" w:line="360" w:lineRule="exact"/>
        <w:rPr>
          <w:rFonts w:hint="eastAsia"/>
          <w:b/>
          <w:sz w:val="26"/>
          <w:szCs w:val="26"/>
        </w:rPr>
      </w:pPr>
      <w:r>
        <w:rPr>
          <w:rFonts w:hint="eastAsia"/>
          <w:b/>
          <w:sz w:val="26"/>
          <w:szCs w:val="26"/>
        </w:rPr>
        <w:t>其它需要说明的问题</w:t>
      </w:r>
    </w:p>
    <w:p>
      <w:pPr>
        <w:numPr>
          <w:ilvl w:val="0"/>
          <w:numId w:val="0"/>
        </w:numPr>
        <w:tabs>
          <w:tab w:val="left" w:pos="645"/>
        </w:tabs>
        <w:spacing w:after="163" w:afterLines="50" w:line="360" w:lineRule="exact"/>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highlight w:val="none"/>
        </w:rPr>
      </w:pPr>
      <w:r>
        <w:rPr>
          <w:rFonts w:hint="eastAsia" w:ascii="宋体" w:hAnsi="宋体"/>
          <w:b/>
          <w:szCs w:val="21"/>
          <w:highlight w:val="none"/>
        </w:rPr>
        <w:t>本次审核共开具不符合项报告</w:t>
      </w:r>
      <w:r>
        <w:rPr>
          <w:rFonts w:hint="eastAsia" w:ascii="宋体" w:hAnsi="宋体"/>
          <w:b/>
          <w:szCs w:val="21"/>
          <w:highlight w:val="none"/>
          <w:lang w:val="en-US" w:eastAsia="zh-CN"/>
        </w:rPr>
        <w:t>1</w:t>
      </w:r>
      <w:r>
        <w:rPr>
          <w:rFonts w:hint="eastAsia" w:ascii="宋体" w:hAnsi="宋体"/>
          <w:b/>
          <w:szCs w:val="21"/>
          <w:highlight w:val="none"/>
        </w:rPr>
        <w:t>项；其中</w:t>
      </w:r>
      <w:r>
        <w:rPr>
          <w:rFonts w:ascii="宋体" w:hAnsi="宋体"/>
          <w:b/>
          <w:szCs w:val="21"/>
          <w:highlight w:val="none"/>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highlight w:val="none"/>
        </w:rPr>
        <w:t>严重不符合</w:t>
      </w:r>
      <w:r>
        <w:rPr>
          <w:rFonts w:hint="eastAsia" w:ascii="宋体" w:hAnsi="宋体"/>
          <w:b/>
          <w:szCs w:val="21"/>
          <w:highlight w:val="none"/>
          <w:lang w:val="en-US" w:eastAsia="zh-CN"/>
        </w:rPr>
        <w:t>0</w:t>
      </w:r>
      <w:r>
        <w:rPr>
          <w:rFonts w:hint="eastAsia" w:ascii="宋体" w:hAnsi="宋体"/>
          <w:b/>
          <w:szCs w:val="21"/>
          <w:highlight w:val="none"/>
        </w:rPr>
        <w:t>项，一般不符合</w:t>
      </w:r>
      <w:r>
        <w:rPr>
          <w:rFonts w:hint="eastAsia" w:ascii="宋体" w:hAnsi="宋体"/>
          <w:b/>
          <w:szCs w:val="21"/>
          <w:highlight w:val="none"/>
          <w:lang w:val="en-US" w:eastAsia="zh-CN"/>
        </w:rPr>
        <w:t>1</w:t>
      </w:r>
      <w:r>
        <w:rPr>
          <w:rFonts w:hint="eastAsia" w:ascii="宋体" w:hAnsi="宋体"/>
          <w:b/>
          <w:szCs w:val="21"/>
          <w:highlight w:val="none"/>
        </w:rPr>
        <w:t>项，观察项</w:t>
      </w:r>
      <w:r>
        <w:rPr>
          <w:rFonts w:hint="eastAsia" w:ascii="宋体" w:hAnsi="宋体"/>
          <w:b/>
          <w:szCs w:val="21"/>
          <w:highlight w:val="none"/>
          <w:lang w:val="en-US" w:eastAsia="zh-CN"/>
        </w:rPr>
        <w:t>0</w:t>
      </w:r>
      <w:r>
        <w:rPr>
          <w:rFonts w:hint="eastAsia" w:ascii="宋体" w:hAnsi="宋体"/>
          <w:b/>
          <w:szCs w:val="21"/>
          <w:highlight w:val="none"/>
        </w:rPr>
        <w:t>项</w:t>
      </w:r>
      <w:r>
        <w:rPr>
          <w:rFonts w:hint="eastAsia" w:ascii="宋体" w:hAnsi="宋体"/>
          <w:b/>
          <w:szCs w:val="21"/>
          <w:highlight w:val="none"/>
          <w:lang w:eastAsia="zh-CN"/>
        </w:rPr>
        <w:t>，</w:t>
      </w:r>
      <w:r>
        <w:rPr>
          <w:rFonts w:hint="eastAsia" w:ascii="宋体" w:hAnsi="宋体"/>
          <w:b/>
          <w:szCs w:val="21"/>
          <w:highlight w:val="none"/>
          <w:lang w:val="en-US" w:eastAsia="zh-CN"/>
        </w:rPr>
        <w:t>不符合项</w:t>
      </w:r>
      <w:r>
        <w:rPr>
          <w:rFonts w:hint="eastAsia" w:ascii="宋体" w:hAnsi="宋体"/>
          <w:b/>
          <w:szCs w:val="21"/>
          <w:highlight w:val="none"/>
        </w:rPr>
        <w:t>分布在</w:t>
      </w:r>
      <w:r>
        <w:rPr>
          <w:rFonts w:hint="eastAsia" w:ascii="宋体" w:hAnsi="宋体"/>
          <w:b/>
          <w:szCs w:val="21"/>
          <w:highlight w:val="none"/>
          <w:lang w:val="en-US" w:eastAsia="zh-CN"/>
        </w:rPr>
        <w:t>行政</w:t>
      </w:r>
      <w:r>
        <w:rPr>
          <w:rFonts w:hint="eastAsia" w:ascii="宋体" w:hAnsi="宋体"/>
          <w:b/>
          <w:szCs w:val="21"/>
          <w:highlight w:val="none"/>
        </w:rPr>
        <w:t>部门</w:t>
      </w:r>
      <w:r>
        <w:rPr>
          <w:rFonts w:hint="eastAsia" w:ascii="宋体" w:hAnsi="宋体"/>
          <w:b/>
          <w:szCs w:val="21"/>
          <w:highlight w:val="none"/>
          <w:lang w:val="en-US" w:eastAsia="zh-CN"/>
        </w:rPr>
        <w:t>E/S7.5.3</w:t>
      </w:r>
      <w:r>
        <w:rPr>
          <w:rFonts w:hint="eastAsia" w:ascii="宋体" w:hAnsi="宋体"/>
          <w:b/>
          <w:szCs w:val="21"/>
          <w:highlight w:val="none"/>
        </w:rPr>
        <w:t>条款，见不符合项分布表。（</w:t>
      </w:r>
      <w:r>
        <w:rPr>
          <w:rFonts w:ascii="宋体" w:hAnsi="宋体"/>
          <w:b/>
          <w:szCs w:val="21"/>
          <w:highlight w:val="none"/>
        </w:rPr>
        <w:t>Q/J/E/S</w:t>
      </w:r>
      <w:r>
        <w:rPr>
          <w:rFonts w:hint="eastAsia" w:ascii="宋体" w:hAnsi="宋体"/>
          <w:b/>
          <w:szCs w:val="21"/>
          <w:highlight w:val="none"/>
        </w:rPr>
        <w:t>分开填写）</w:t>
      </w:r>
    </w:p>
    <w:p>
      <w:pPr>
        <w:tabs>
          <w:tab w:val="left" w:pos="645"/>
        </w:tabs>
        <w:spacing w:after="163" w:afterLines="50" w:line="360" w:lineRule="exact"/>
        <w:rPr>
          <w:b/>
          <w:sz w:val="16"/>
          <w:szCs w:val="16"/>
          <w:highlight w:val="none"/>
        </w:rPr>
      </w:pPr>
      <w:r>
        <w:rPr>
          <w:rFonts w:hint="eastAsia"/>
          <w:b/>
          <w:sz w:val="26"/>
          <w:szCs w:val="26"/>
          <w:highlight w:val="none"/>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pPr>
            <w:r>
              <w:t>1.</w:t>
            </w:r>
            <w:r>
              <w:rPr>
                <w:rFonts w:hint="eastAsia"/>
              </w:rPr>
              <w:t>□</w:t>
            </w:r>
            <w:r>
              <w:t>QMS</w:t>
            </w:r>
            <w:r>
              <w:rPr>
                <w:rFonts w:hint="eastAsia"/>
              </w:rPr>
              <w:t>□50430■</w:t>
            </w:r>
            <w:r>
              <w:t xml:space="preserve">EMS  </w:t>
            </w:r>
            <w:r>
              <w:rPr>
                <w:rFonts w:hint="eastAsia"/>
              </w:rPr>
              <w:t>■</w:t>
            </w:r>
            <w:r>
              <w:t>OHSMS</w:t>
            </w:r>
          </w:p>
          <w:p>
            <w:pPr>
              <w:spacing w:line="280" w:lineRule="exact"/>
            </w:pPr>
            <w:r>
              <w:rPr>
                <w:rFonts w:hint="eastAsia"/>
              </w:rPr>
              <w:t>的适宜性、充分性、运行有效性，自我完善机制等，管理体系满足适用要求和实现预期结果的能力。</w:t>
            </w:r>
          </w:p>
          <w:p>
            <w:pPr>
              <w:spacing w:line="280" w:lineRule="exact"/>
              <w:ind w:left="331" w:leftChars="88" w:hanging="120" w:hangingChars="50"/>
            </w:pPr>
            <w:r>
              <w:t>(</w:t>
            </w:r>
            <w:r>
              <w:rPr>
                <w:rFonts w:hint="eastAsia"/>
              </w:rPr>
              <w:t>描述组织的管理体系在认证周期内持续对过程控制的情况，持续满足标准要求和目标方面的有效性，向顾客提供稳定、合格产品，满足适用的环境</w:t>
            </w:r>
            <w:r>
              <w:t>/</w:t>
            </w:r>
            <w:r>
              <w:rPr>
                <w:rFonts w:hint="eastAsia"/>
              </w:rPr>
              <w:t>职业健康安全法规、防止污染、重大事故和持续改进而策划的活动的情况；扩大范围部分体系运行情况</w:t>
            </w:r>
            <w:r>
              <w:t>)</w:t>
            </w: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综上所述，审核组一致认为（重庆南电科技有限公司</w:t>
            </w:r>
            <w:r>
              <w:rPr>
                <w:rFonts w:hint="eastAsia" w:asciiTheme="minorEastAsia" w:hAnsiTheme="minorEastAsia" w:eastAsiaTheme="minorEastAsia"/>
                <w:szCs w:val="24"/>
              </w:rPr>
              <w:t>）</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92" w:firstLineChars="150"/>
              <w:rPr>
                <w:rFonts w:ascii="宋体" w:hAnsi="宋体"/>
                <w:b/>
                <w:szCs w:val="21"/>
              </w:rPr>
            </w:pPr>
            <w:r>
              <w:rPr>
                <w:rFonts w:hint="eastAsia"/>
                <w:b/>
                <w:sz w:val="26"/>
                <w:szCs w:val="26"/>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b/>
                <w:sz w:val="26"/>
                <w:szCs w:val="26"/>
              </w:rPr>
              <w:t>□</w:t>
            </w:r>
            <w:r>
              <w:rPr>
                <w:rFonts w:ascii="宋体" w:hAnsi="宋体"/>
                <w:b/>
                <w:szCs w:val="21"/>
              </w:rPr>
              <w:t xml:space="preserve">EMS  </w:t>
            </w:r>
            <w:r>
              <w:rPr>
                <w:rFonts w:hint="eastAsia"/>
                <w:b/>
                <w:sz w:val="26"/>
                <w:szCs w:val="26"/>
              </w:rPr>
              <w:t>□</w:t>
            </w:r>
            <w:r>
              <w:rPr>
                <w:rFonts w:ascii="宋体" w:hAnsi="宋体"/>
                <w:b/>
                <w:szCs w:val="21"/>
              </w:rPr>
              <w:t>OHSMS</w:t>
            </w:r>
          </w:p>
          <w:p>
            <w:pPr>
              <w:spacing w:line="280" w:lineRule="exact"/>
              <w:ind w:firstLine="361" w:firstLineChars="150"/>
              <w:rPr>
                <w:rFonts w:hint="default" w:ascii="宋体" w:hAnsi="宋体" w:eastAsia="宋体"/>
                <w:b/>
                <w:szCs w:val="21"/>
                <w:lang w:val="en-US" w:eastAsia="zh-CN"/>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EMS</w:t>
            </w:r>
            <w:r>
              <w:rPr>
                <w:rFonts w:hint="eastAsia" w:ascii="宋体" w:hAnsi="宋体"/>
                <w:b/>
                <w:szCs w:val="21"/>
                <w:lang w:eastAsia="zh-CN"/>
              </w:rPr>
              <w:t>（</w:t>
            </w:r>
            <w:r>
              <w:rPr>
                <w:rFonts w:hint="eastAsia" w:ascii="宋体" w:hAnsi="宋体"/>
                <w:b/>
                <w:szCs w:val="21"/>
                <w:lang w:val="en-US" w:eastAsia="zh-CN"/>
              </w:rPr>
              <w:t>更换证书）</w:t>
            </w:r>
            <w:r>
              <w:rPr>
                <w:rFonts w:ascii="宋体" w:hAnsi="宋体"/>
                <w:b/>
                <w:szCs w:val="21"/>
              </w:rPr>
              <w:t xml:space="preserve">  </w:t>
            </w:r>
            <w:r>
              <w:rPr>
                <w:rFonts w:hint="eastAsia" w:ascii="宋体" w:hAnsi="宋体"/>
                <w:b/>
                <w:szCs w:val="21"/>
              </w:rPr>
              <w:t>■</w:t>
            </w:r>
            <w:r>
              <w:rPr>
                <w:rFonts w:ascii="宋体" w:hAnsi="宋体"/>
                <w:b/>
                <w:szCs w:val="21"/>
              </w:rPr>
              <w:t>OHSMS</w:t>
            </w:r>
            <w:r>
              <w:rPr>
                <w:rFonts w:hint="eastAsia" w:ascii="宋体" w:hAnsi="宋体"/>
                <w:b/>
                <w:szCs w:val="21"/>
                <w:lang w:eastAsia="zh-CN"/>
              </w:rPr>
              <w:t>（</w:t>
            </w:r>
            <w:r>
              <w:rPr>
                <w:rFonts w:hint="eastAsia" w:ascii="宋体" w:hAnsi="宋体"/>
                <w:b/>
                <w:szCs w:val="21"/>
                <w:lang w:val="en-US" w:eastAsia="zh-CN"/>
              </w:rPr>
              <w:t>更换证书）</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default" w:eastAsia="宋体"/>
          <w:b/>
          <w:color w:val="FF0000"/>
          <w:sz w:val="24"/>
          <w:szCs w:val="24"/>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4"/>
          <w:szCs w:val="24"/>
          <w:lang w:val="en-US" w:eastAsia="zh-CN"/>
        </w:rPr>
        <w:t>因组织生产经营地址变更，本次环境和职业健康安全管理体系监督审核按标准全条款审核。</w:t>
      </w:r>
    </w:p>
    <w:p>
      <w:pPr>
        <w:snapToGrid w:val="0"/>
        <w:spacing w:line="360" w:lineRule="exact"/>
        <w:rPr>
          <w:b/>
          <w:bCs/>
          <w:sz w:val="21"/>
          <w:szCs w:val="28"/>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rPr>
          <w:rFonts w:hint="eastAsia"/>
          <w:b/>
          <w:sz w:val="22"/>
          <w:szCs w:val="22"/>
        </w:rPr>
        <w:drawing>
          <wp:anchor distT="0" distB="0" distL="114300" distR="114300" simplePos="0" relativeHeight="251662336" behindDoc="0" locked="0" layoutInCell="1" allowOverlap="1">
            <wp:simplePos x="0" y="0"/>
            <wp:positionH relativeFrom="column">
              <wp:posOffset>1713865</wp:posOffset>
            </wp:positionH>
            <wp:positionV relativeFrom="paragraph">
              <wp:posOffset>-81915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1647190</wp:posOffset>
            </wp:positionH>
            <wp:positionV relativeFrom="paragraph">
              <wp:posOffset>334010</wp:posOffset>
            </wp:positionV>
            <wp:extent cx="640080" cy="319405"/>
            <wp:effectExtent l="0" t="0" r="0" b="63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7"/>
                    <a:srcRect l="10377" t="24118" r="4335" b="17353"/>
                    <a:stretch>
                      <a:fillRect/>
                    </a:stretch>
                  </pic:blipFill>
                  <pic:spPr>
                    <a:xfrm>
                      <a:off x="0" y="0"/>
                      <a:ext cx="640080" cy="319405"/>
                    </a:xfrm>
                    <a:prstGeom prst="rect">
                      <a:avLst/>
                    </a:prstGeom>
                  </pic:spPr>
                </pic:pic>
              </a:graphicData>
            </a:graphic>
          </wp:anchor>
        </w:drawing>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2021年7月23日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sz w:val="21"/>
          <w:szCs w:val="21"/>
          <w:highlight w:val="none"/>
        </w:rPr>
        <w:t>□</w:t>
      </w:r>
      <w:r>
        <w:rPr>
          <w:b/>
          <w:sz w:val="21"/>
          <w:szCs w:val="21"/>
          <w:highlight w:val="none"/>
        </w:rPr>
        <w:t>QMS ()</w:t>
      </w:r>
      <w:r>
        <w:rPr>
          <w:rFonts w:hint="eastAsia"/>
          <w:b/>
          <w:sz w:val="21"/>
          <w:szCs w:val="21"/>
          <w:highlight w:val="none"/>
        </w:rPr>
        <w:t>个一般不符合，</w:t>
      </w:r>
      <w:r>
        <w:rPr>
          <w:b/>
          <w:sz w:val="21"/>
          <w:szCs w:val="21"/>
          <w:highlight w:val="none"/>
        </w:rPr>
        <w:t>()</w:t>
      </w:r>
      <w:r>
        <w:rPr>
          <w:rFonts w:hint="eastAsia"/>
          <w:b/>
          <w:sz w:val="21"/>
          <w:szCs w:val="21"/>
          <w:highlight w:val="none"/>
        </w:rPr>
        <w:t>个严重不符合，□验证合格□仍有问题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lang w:eastAsia="zh-CN"/>
        </w:rPr>
        <w:t>■</w:t>
      </w:r>
      <w:r>
        <w:rPr>
          <w:b/>
          <w:sz w:val="21"/>
          <w:szCs w:val="21"/>
          <w:highlight w:val="none"/>
        </w:rPr>
        <w:t>EMS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1 </w:t>
      </w:r>
      <w:r>
        <w:rPr>
          <w:b/>
          <w:sz w:val="21"/>
          <w:szCs w:val="21"/>
          <w:highlight w:val="none"/>
        </w:rPr>
        <w:t xml:space="preserve"> )</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bCs/>
          <w:sz w:val="21"/>
          <w:szCs w:val="21"/>
          <w:highlight w:val="none"/>
          <w:lang w:eastAsia="zh-CN"/>
        </w:rPr>
        <w:t>■</w:t>
      </w:r>
      <w:r>
        <w:rPr>
          <w:b/>
          <w:sz w:val="21"/>
          <w:szCs w:val="21"/>
          <w:highlight w:val="none"/>
        </w:rPr>
        <w:t>OHSMS(</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1 </w:t>
      </w:r>
      <w:r>
        <w:rPr>
          <w:b/>
          <w:sz w:val="21"/>
          <w:szCs w:val="21"/>
          <w:highlight w:val="none"/>
        </w:rPr>
        <w:t xml:space="preserve"> )</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r>
        <w:rPr>
          <w:rFonts w:hint="eastAsia"/>
          <w:b/>
          <w:bCs/>
          <w:sz w:val="21"/>
          <w:szCs w:val="21"/>
          <w:highlight w:val="none"/>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snapToGrid w:val="0"/>
        <w:spacing w:line="280" w:lineRule="exact"/>
        <w:ind w:firstLine="6626" w:firstLineChars="3000"/>
        <w:rPr>
          <w:rFonts w:hint="eastAsia"/>
          <w:b/>
          <w:sz w:val="2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1923415</wp:posOffset>
            </wp:positionH>
            <wp:positionV relativeFrom="paragraph">
              <wp:posOffset>125730</wp:posOffset>
            </wp:positionV>
            <wp:extent cx="814705" cy="451485"/>
            <wp:effectExtent l="0" t="0" r="8255" b="571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t="11587"/>
                    <a:stretch>
                      <a:fillRect/>
                    </a:stretch>
                  </pic:blipFill>
                  <pic:spPr>
                    <a:xfrm>
                      <a:off x="0" y="0"/>
                      <a:ext cx="814705" cy="451485"/>
                    </a:xfrm>
                    <a:prstGeom prst="rect">
                      <a:avLst/>
                    </a:prstGeom>
                    <a:noFill/>
                    <a:ln w="9525">
                      <a:noFill/>
                      <a:miter lim="800000"/>
                      <a:headEnd/>
                      <a:tailEnd/>
                    </a:ln>
                  </pic:spPr>
                </pic:pic>
              </a:graphicData>
            </a:graphic>
          </wp:anchor>
        </w:drawing>
      </w:r>
    </w:p>
    <w:p>
      <w:pPr>
        <w:snapToGrid w:val="0"/>
        <w:spacing w:line="280" w:lineRule="exact"/>
        <w:ind w:firstLine="1897" w:firstLineChars="900"/>
        <w:rPr>
          <w:rFonts w:hint="default" w:eastAsia="宋体"/>
          <w:b/>
          <w:sz w:val="21"/>
          <w:lang w:val="en-US" w:eastAsia="zh-CN"/>
        </w:rPr>
      </w:pPr>
      <w:r>
        <w:rPr>
          <w:rFonts w:hint="eastAsia"/>
          <w:b/>
          <w:sz w:val="21"/>
          <w:szCs w:val="21"/>
        </w:rPr>
        <w:t>组长签字：</w:t>
      </w:r>
      <w:r>
        <w:rPr>
          <w:rFonts w:hint="eastAsia"/>
          <w:b/>
          <w:sz w:val="21"/>
          <w:szCs w:val="21"/>
          <w:lang w:val="en-US" w:eastAsia="zh-CN"/>
        </w:rPr>
        <w:t xml:space="preserve">                   </w:t>
      </w:r>
      <w:r>
        <w:rPr>
          <w:rFonts w:hint="eastAsia"/>
          <w:b/>
          <w:sz w:val="21"/>
        </w:rPr>
        <w:t>日期：</w:t>
      </w:r>
      <w:r>
        <w:rPr>
          <w:rFonts w:hint="eastAsia"/>
          <w:b/>
          <w:sz w:val="21"/>
          <w:szCs w:val="21"/>
          <w:lang w:val="en-US" w:eastAsia="zh-CN"/>
        </w:rPr>
        <w:t>2021年7月27</w:t>
      </w:r>
      <w:bookmarkStart w:id="30" w:name="_GoBack"/>
      <w:bookmarkEnd w:id="30"/>
      <w:r>
        <w:rPr>
          <w:rFonts w:hint="eastAsia"/>
          <w:b/>
          <w:sz w:val="21"/>
          <w:szCs w:val="21"/>
          <w:lang w:val="en-US" w:eastAsia="zh-CN"/>
        </w:rPr>
        <w:t>日</w:t>
      </w:r>
    </w:p>
    <w:p>
      <w:pPr>
        <w:tabs>
          <w:tab w:val="left" w:pos="6880"/>
          <w:tab w:val="left" w:pos="7740"/>
          <w:tab w:val="left" w:pos="8385"/>
        </w:tabs>
        <w:snapToGrid w:val="0"/>
        <w:spacing w:before="163" w:beforeLines="50"/>
        <w:ind w:firstLine="723" w:firstLineChars="343"/>
        <w:rPr>
          <w:rFonts w:hint="default" w:eastAsia="宋体"/>
          <w:b/>
          <w:sz w:val="21"/>
          <w:szCs w:val="21"/>
          <w:lang w:val="en-US" w:eastAsia="zh-CN"/>
        </w:rPr>
      </w:pPr>
    </w:p>
    <w:p>
      <w:pPr>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Microsoft JhengHei"/>
    <w:panose1 w:val="02010609000101010101"/>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6F0E2C"/>
    <w:multiLevelType w:val="singleLevel"/>
    <w:tmpl w:val="F56F0E2C"/>
    <w:lvl w:ilvl="0" w:tentative="0">
      <w:start w:val="1"/>
      <w:numFmt w:val="decimal"/>
      <w:suff w:val="space"/>
      <w:lvlText w:val="%1、"/>
      <w:lvlJc w:val="left"/>
    </w:lvl>
  </w:abstractNum>
  <w:abstractNum w:abstractNumId="1">
    <w:nsid w:val="28E0EA5B"/>
    <w:multiLevelType w:val="singleLevel"/>
    <w:tmpl w:val="28E0EA5B"/>
    <w:lvl w:ilvl="0" w:tentative="0">
      <w:start w:val="7"/>
      <w:numFmt w:val="chineseCounting"/>
      <w:suff w:val="nothing"/>
      <w:lvlText w:val="%1、"/>
      <w:lvlJc w:val="left"/>
      <w:rPr>
        <w:rFonts w:hint="eastAsia"/>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6546F413"/>
    <w:multiLevelType w:val="singleLevel"/>
    <w:tmpl w:val="6546F413"/>
    <w:lvl w:ilvl="0" w:tentative="0">
      <w:start w:val="3"/>
      <w:numFmt w:val="decimal"/>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D3D8D"/>
    <w:rsid w:val="17591A17"/>
    <w:rsid w:val="62467B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0"/>
    <w:semiHidden/>
    <w:uiPriority w:val="99"/>
    <w:rPr>
      <w:sz w:val="18"/>
      <w:szCs w:val="18"/>
    </w:rPr>
  </w:style>
  <w:style w:type="paragraph" w:styleId="5">
    <w:name w:val="footer"/>
    <w:basedOn w:val="1"/>
    <w:link w:val="11"/>
    <w:semiHidden/>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semiHidden/>
    <w:locked/>
    <w:uiPriority w:val="99"/>
    <w:rPr>
      <w:rFonts w:ascii="Times New Roman" w:hAnsi="Times New Roman" w:eastAsia="宋体" w:cs="Times New Roman"/>
      <w:sz w:val="18"/>
      <w:szCs w:val="18"/>
    </w:rPr>
  </w:style>
  <w:style w:type="character" w:customStyle="1" w:styleId="11">
    <w:name w:val="页脚 Char"/>
    <w:link w:val="5"/>
    <w:semiHidden/>
    <w:locked/>
    <w:uiPriority w:val="99"/>
    <w:rPr>
      <w:rFonts w:ascii="Times New Roman" w:hAnsi="Times New Roman" w:eastAsia="宋体" w:cs="Times New Roman"/>
      <w:sz w:val="18"/>
      <w:szCs w:val="18"/>
    </w:rPr>
  </w:style>
  <w:style w:type="character" w:customStyle="1" w:styleId="12">
    <w:name w:val="页眉 Char"/>
    <w:link w:val="6"/>
    <w:qFormat/>
    <w:locked/>
    <w:uiPriority w:val="0"/>
    <w:rPr>
      <w:sz w:val="18"/>
    </w:rPr>
  </w:style>
  <w:style w:type="character" w:customStyle="1" w:styleId="13">
    <w:name w:val="页眉 Char1"/>
    <w:semiHidden/>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2021-07-23T08:09:01Z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95AD2FDC740E432FBA2B3B26BD6D8285</vt:lpwstr>
  </property>
</Properties>
</file>