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成都长宏途腾家具有限公司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w:t>
            </w:r>
          </w:p>
          <w:p>
            <w:pPr>
              <w:spacing w:line="240" w:lineRule="exact"/>
              <w:jc w:val="center"/>
              <w:rPr>
                <w:b/>
                <w:color w:val="000000" w:themeColor="text1"/>
                <w:sz w:val="20"/>
                <w:szCs w:val="20"/>
              </w:rPr>
            </w:pPr>
            <w:r>
              <w:rPr>
                <w:b/>
                <w:color w:val="000000" w:themeColor="text1"/>
                <w:sz w:val="20"/>
                <w:szCs w:val="20"/>
              </w:rPr>
              <w:t>E:23.01.01</w:t>
            </w:r>
          </w:p>
          <w:p>
            <w:pPr>
              <w:spacing w:line="240" w:lineRule="exact"/>
              <w:jc w:val="center"/>
              <w:rPr>
                <w:b/>
                <w:color w:val="000000" w:themeColor="text1"/>
                <w:sz w:val="20"/>
                <w:szCs w:val="20"/>
              </w:rPr>
            </w:pPr>
            <w:r>
              <w:rPr>
                <w:b/>
                <w:color w:val="000000" w:themeColor="text1"/>
                <w:sz w:val="20"/>
                <w:szCs w:val="20"/>
              </w:rP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成都长宏途腾家具有限公司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成都市双流区西南航空经济开发区杨桥路408号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803" w:firstLineChars="400"/>
              <w:rPr>
                <w:rFonts w:ascii="宋体" w:hAnsi="宋体"/>
                <w:b/>
                <w:color w:val="000000" w:themeColor="text1"/>
                <w:sz w:val="20"/>
                <w:szCs w:val="20"/>
              </w:rPr>
            </w:pPr>
            <w:bookmarkStart w:id="9" w:name="办公地址"/>
            <w:r>
              <w:rPr>
                <w:rFonts w:ascii="宋体" w:hAnsi="宋体"/>
                <w:b/>
                <w:color w:val="000000" w:themeColor="text1"/>
                <w:sz w:val="20"/>
                <w:szCs w:val="20"/>
              </w:rPr>
              <w:t>四川省成都市双流区彭光荣路217号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付正英</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15308064362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付正英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罗梅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Q：办公家具的组装及销售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E：办公家具的组装及销售所涉及场所的相关环境管理活动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O：办公家具的组装及销售所涉及场所的相关职业健康安全管理活动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w:t>
            </w:r>
          </w:p>
          <w:p>
            <w:pPr>
              <w:spacing w:line="320" w:lineRule="exact"/>
              <w:rPr>
                <w:rFonts w:ascii="宋体" w:hAnsi="宋体"/>
                <w:b/>
                <w:color w:val="000000" w:themeColor="text1"/>
                <w:sz w:val="20"/>
                <w:szCs w:val="20"/>
              </w:rPr>
            </w:pPr>
            <w:r>
              <w:rPr>
                <w:rFonts w:ascii="宋体" w:hAnsi="宋体"/>
                <w:b/>
                <w:color w:val="000000" w:themeColor="text1"/>
                <w:sz w:val="20"/>
                <w:szCs w:val="20"/>
              </w:rPr>
              <w:t>E：23.01.01</w:t>
            </w:r>
          </w:p>
          <w:p>
            <w:pPr>
              <w:spacing w:line="320" w:lineRule="exact"/>
              <w:rPr>
                <w:rFonts w:ascii="宋体" w:hAnsi="宋体"/>
                <w:b/>
                <w:color w:val="000000" w:themeColor="text1"/>
                <w:sz w:val="20"/>
                <w:szCs w:val="20"/>
              </w:rPr>
            </w:pPr>
            <w:r>
              <w:rPr>
                <w:rFonts w:ascii="宋体" w:hAnsi="宋体"/>
                <w:b/>
                <w:color w:val="000000" w:themeColor="text1"/>
                <w:sz w:val="20"/>
                <w:szCs w:val="20"/>
              </w:rPr>
              <w:t>O：23.01.01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eastAsia="宋体"/>
                <w:b/>
                <w:color w:val="000000" w:themeColor="text1"/>
                <w:sz w:val="20"/>
                <w:szCs w:val="20"/>
                <w:lang w:eastAsia="zh-CN"/>
              </w:rPr>
              <w:t>市场部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不合格品控制；纠正和预防措施控制；策划管理；服务过程管理；合同管理；采购管理；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val="en-US" w:eastAsia="zh-CN"/>
              </w:rPr>
              <w:t>生产</w:t>
            </w:r>
            <w:r>
              <w:rPr>
                <w:rFonts w:hint="eastAsia" w:ascii="宋体" w:hAnsi="宋体" w:eastAsia="宋体"/>
                <w:b/>
                <w:color w:val="000000" w:themeColor="text1"/>
                <w:sz w:val="20"/>
                <w:szCs w:val="20"/>
                <w:lang w:eastAsia="zh-CN"/>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不合格品控制；纠正和预防措施控制；策划管理；过程监控管理；产品验收管理；监视和测量设备管理；设备设施管理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left"/>
              <w:rPr>
                <w:rFonts w:hint="eastAsia"/>
                <w:color w:val="000000"/>
                <w:lang w:eastAsia="zh-CN"/>
              </w:rPr>
            </w:pPr>
            <w:r>
              <w:rPr>
                <w:rFonts w:hint="eastAsia" w:ascii="宋体" w:hAnsi="宋体"/>
                <w:b/>
                <w:color w:val="000000" w:themeColor="text1"/>
                <w:spacing w:val="-2"/>
                <w:sz w:val="20"/>
                <w:szCs w:val="20"/>
                <w:lang w:eastAsia="zh-CN"/>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rFonts w:hint="eastAsia"/>
                <w:color w:val="000000"/>
                <w:lang w:eastAsia="zh-CN"/>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办公家具的组装及销售</w:t>
            </w:r>
          </w:p>
        </w:tc>
        <w:tc>
          <w:tcPr>
            <w:tcW w:w="2519" w:type="dxa"/>
          </w:tcPr>
          <w:p>
            <w:pPr>
              <w:rPr>
                <w:rFonts w:hint="eastAsia" w:eastAsia="宋体"/>
                <w:b/>
                <w:color w:val="000000" w:themeColor="text1"/>
                <w:sz w:val="20"/>
                <w:szCs w:val="20"/>
                <w:lang w:eastAsia="zh-CN"/>
              </w:rPr>
            </w:pPr>
            <w:r>
              <w:rPr>
                <w:rFonts w:hint="eastAsia"/>
                <w:b/>
                <w:sz w:val="20"/>
                <w:szCs w:val="20"/>
                <w:lang w:val="en-US" w:eastAsia="zh-CN"/>
              </w:rPr>
              <w:t>生产</w:t>
            </w:r>
          </w:p>
        </w:tc>
        <w:tc>
          <w:tcPr>
            <w:tcW w:w="1843" w:type="dxa"/>
          </w:tcPr>
          <w:p>
            <w:pPr>
              <w:rPr>
                <w:b/>
                <w:color w:val="000000" w:themeColor="text1"/>
                <w:sz w:val="20"/>
                <w:szCs w:val="20"/>
              </w:rPr>
            </w:pPr>
          </w:p>
        </w:tc>
        <w:tc>
          <w:tcPr>
            <w:tcW w:w="3543" w:type="dxa"/>
          </w:tcPr>
          <w:p>
            <w:pPr>
              <w:wordWrap w:val="0"/>
              <w:overflowPunct w:val="0"/>
              <w:autoSpaceDE w:val="0"/>
              <w:autoSpaceDN w:val="0"/>
              <w:rPr>
                <w:b/>
                <w:color w:val="000000" w:themeColor="text1"/>
                <w:sz w:val="20"/>
                <w:szCs w:val="20"/>
              </w:rPr>
            </w:pPr>
            <w:r>
              <w:rPr>
                <w:rFonts w:hint="eastAsia" w:ascii="宋体" w:hAnsi="宋体" w:eastAsia="宋体" w:cs="宋体"/>
                <w:b w:val="0"/>
                <w:bCs/>
                <w:sz w:val="21"/>
                <w:szCs w:val="21"/>
              </w:rPr>
              <w:t>木质家具制造业职业病危害预防控制规范DB31/T 677-2012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木质家具制造业大气污染物排放标准DB11/ 1202-2015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木家具中有害物质限量</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GB 18584-2001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木家具通用技术条件</w:t>
            </w:r>
            <w:r>
              <w:rPr>
                <w:rFonts w:hint="eastAsia" w:ascii="宋体" w:hAnsi="宋体" w:eastAsia="宋体" w:cs="宋体"/>
                <w:b w:val="0"/>
                <w:bCs/>
                <w:sz w:val="21"/>
                <w:szCs w:val="21"/>
              </w:rPr>
              <w:tab/>
            </w:r>
            <w:r>
              <w:rPr>
                <w:rFonts w:hint="eastAsia" w:ascii="宋体" w:hAnsi="宋体" w:eastAsia="宋体" w:cs="宋体"/>
                <w:b w:val="0"/>
                <w:bCs/>
                <w:sz w:val="21"/>
                <w:szCs w:val="21"/>
              </w:rPr>
              <w:t>GB/T 3324-2017</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rPr>
                <w:rFonts w:hint="eastAsia"/>
                <w:szCs w:val="21"/>
              </w:rPr>
            </w:pPr>
            <w:r>
              <w:rPr>
                <w:rFonts w:hint="eastAsia" w:ascii="宋体" w:hAnsi="宋体" w:cs="宋体"/>
                <w:kern w:val="0"/>
                <w:sz w:val="24"/>
                <w:lang w:eastAsia="zh-CN"/>
              </w:rPr>
              <w:t>成都长宏途腾家具有限公司</w:t>
            </w:r>
            <w:r>
              <w:rPr>
                <w:rFonts w:ascii="宋体" w:hAnsi="宋体" w:cs="宋体"/>
                <w:kern w:val="0"/>
                <w:sz w:val="24"/>
              </w:rPr>
              <w:t>创立于</w:t>
            </w:r>
            <w:r>
              <w:rPr>
                <w:rFonts w:hint="eastAsia" w:ascii="宋体" w:hAnsi="宋体" w:cs="宋体"/>
                <w:kern w:val="0"/>
                <w:sz w:val="24"/>
                <w:lang w:eastAsia="zh-CN"/>
              </w:rPr>
              <w:t>201</w:t>
            </w:r>
            <w:r>
              <w:rPr>
                <w:rFonts w:hint="eastAsia" w:ascii="宋体" w:hAnsi="宋体" w:cs="宋体"/>
                <w:kern w:val="0"/>
                <w:sz w:val="24"/>
                <w:lang w:val="en-US" w:eastAsia="zh-CN"/>
              </w:rPr>
              <w:t>6</w:t>
            </w:r>
            <w:r>
              <w:rPr>
                <w:rFonts w:hint="eastAsia" w:ascii="宋体" w:hAnsi="宋体" w:cs="宋体"/>
                <w:kern w:val="0"/>
                <w:sz w:val="24"/>
                <w:lang w:eastAsia="zh-CN"/>
              </w:rPr>
              <w:t>年0</w:t>
            </w:r>
            <w:r>
              <w:rPr>
                <w:rFonts w:hint="eastAsia" w:ascii="宋体" w:hAnsi="宋体" w:cs="宋体"/>
                <w:kern w:val="0"/>
                <w:sz w:val="24"/>
                <w:lang w:val="en-US" w:eastAsia="zh-CN"/>
              </w:rPr>
              <w:t>1</w:t>
            </w:r>
            <w:r>
              <w:rPr>
                <w:rFonts w:hint="eastAsia" w:ascii="宋体" w:hAnsi="宋体" w:cs="宋体"/>
                <w:kern w:val="0"/>
                <w:sz w:val="24"/>
                <w:lang w:eastAsia="zh-CN"/>
              </w:rPr>
              <w:t>月</w:t>
            </w:r>
            <w:r>
              <w:rPr>
                <w:rFonts w:hint="eastAsia" w:ascii="宋体" w:hAnsi="宋体" w:eastAsia="宋体" w:cs="宋体"/>
                <w:bCs/>
                <w:szCs w:val="22"/>
                <w:lang w:eastAsia="zh-CN"/>
              </w:rPr>
              <w:t>，公司地址位于</w:t>
            </w:r>
            <w:bookmarkStart w:id="20" w:name="生产地址"/>
            <w:r>
              <w:t>四川省成都市双流区彭光荣路217号</w:t>
            </w:r>
            <w:bookmarkEnd w:id="20"/>
            <w:r>
              <w:rPr>
                <w:rFonts w:hint="eastAsia" w:ascii="宋体" w:hAnsi="宋体" w:eastAsia="宋体" w:cs="宋体"/>
                <w:bCs/>
                <w:szCs w:val="22"/>
                <w:lang w:eastAsia="zh-CN"/>
              </w:rPr>
              <w:t>。主要从事</w:t>
            </w:r>
            <w:r>
              <w:rPr>
                <w:rFonts w:hint="eastAsia" w:eastAsia="宋体"/>
                <w:lang w:eastAsia="zh-CN"/>
              </w:rPr>
              <w:t>办公家具的组装及销售</w:t>
            </w:r>
            <w:r>
              <w:rPr>
                <w:rFonts w:hint="eastAsia" w:ascii="宋体" w:hAnsi="宋体" w:eastAsia="宋体" w:cs="宋体"/>
                <w:bCs/>
                <w:szCs w:val="22"/>
                <w:lang w:eastAsia="zh-CN"/>
              </w:rPr>
              <w:t>，产品自销售以来得到用户一致好评。</w:t>
            </w:r>
            <w:r>
              <w:rPr>
                <w:rFonts w:hint="eastAsia"/>
                <w:szCs w:val="21"/>
              </w:rPr>
              <w:t>现有员工</w:t>
            </w:r>
            <w:r>
              <w:rPr>
                <w:rFonts w:hint="eastAsia"/>
                <w:szCs w:val="21"/>
                <w:lang w:val="en-US" w:eastAsia="zh-CN"/>
              </w:rPr>
              <w:t>21</w:t>
            </w:r>
            <w:r>
              <w:rPr>
                <w:rFonts w:hint="eastAsia"/>
                <w:szCs w:val="21"/>
              </w:rPr>
              <w:t>人，目前经营情况良好。</w:t>
            </w:r>
          </w:p>
          <w:p>
            <w:pPr>
              <w:spacing w:line="240" w:lineRule="auto"/>
              <w:jc w:val="left"/>
              <w:rPr>
                <w:rFonts w:hint="default" w:ascii="宋体" w:hAnsi="宋体" w:eastAsia="宋体"/>
                <w:b/>
                <w:szCs w:val="21"/>
                <w:lang w:val="en-US" w:eastAsia="zh-CN"/>
              </w:rPr>
            </w:pPr>
            <w:r>
              <w:rPr>
                <w:rFonts w:hint="eastAsia" w:ascii="宋体" w:hAnsi="宋体"/>
                <w:szCs w:val="21"/>
              </w:rPr>
              <w:t>组织对内外部因素、相关方需求和期望进行了充分的识别，策划和实施有效。</w:t>
            </w:r>
            <w:r>
              <w:rPr>
                <w:rFonts w:hint="eastAsia" w:ascii="Times New Roman" w:hAnsi="Times New Roman" w:eastAsia="宋体" w:cs="Times New Roman"/>
                <w:szCs w:val="21"/>
                <w:highlight w:val="none"/>
              </w:rPr>
              <w:t>公司的产品按客户要求及相关标准进行</w:t>
            </w:r>
            <w:r>
              <w:rPr>
                <w:rFonts w:hint="eastAsia" w:ascii="Times New Roman" w:hAnsi="Times New Roman" w:eastAsia="宋体" w:cs="Times New Roman"/>
                <w:szCs w:val="21"/>
                <w:highlight w:val="none"/>
                <w:lang w:val="en-US" w:eastAsia="zh-CN"/>
              </w:rPr>
              <w:t>组装</w:t>
            </w:r>
            <w:r>
              <w:rPr>
                <w:rFonts w:hint="eastAsia" w:ascii="Times New Roman" w:hAnsi="Times New Roman" w:eastAsia="宋体" w:cs="Times New Roman"/>
                <w:szCs w:val="21"/>
                <w:highlight w:val="none"/>
              </w:rPr>
              <w:t>，整个</w:t>
            </w:r>
            <w:r>
              <w:rPr>
                <w:rFonts w:hint="eastAsia" w:ascii="Times New Roman" w:hAnsi="Times New Roman" w:eastAsia="宋体" w:cs="Times New Roman"/>
                <w:szCs w:val="21"/>
                <w:highlight w:val="none"/>
                <w:lang w:val="en-US" w:eastAsia="zh-CN"/>
              </w:rPr>
              <w:t>组装</w:t>
            </w:r>
            <w:r>
              <w:rPr>
                <w:rFonts w:hint="eastAsia" w:ascii="Times New Roman" w:hAnsi="Times New Roman" w:eastAsia="宋体" w:cs="Times New Roman"/>
                <w:szCs w:val="21"/>
                <w:highlight w:val="none"/>
              </w:rPr>
              <w:t>过程不涉及设计开发的内容。8.3条款的不适用不影响组织提供满足顾客要求及法律法规要求</w:t>
            </w:r>
            <w:r>
              <w:rPr>
                <w:rFonts w:hint="eastAsia" w:cs="Times New Roman"/>
                <w:szCs w:val="21"/>
                <w:highlight w:val="none"/>
                <w:lang w:val="en-US" w:eastAsia="zh-CN"/>
              </w:rPr>
              <w:t>的</w:t>
            </w:r>
            <w:r>
              <w:rPr>
                <w:rFonts w:hint="eastAsia" w:ascii="Times New Roman" w:hAnsi="Times New Roman" w:eastAsia="宋体" w:cs="Times New Roman"/>
                <w:szCs w:val="21"/>
                <w:highlight w:val="none"/>
              </w:rPr>
              <w:t>产品。</w:t>
            </w:r>
            <w:r>
              <w:rPr>
                <w:rFonts w:hint="eastAsia" w:ascii="宋体" w:hAnsi="宋体"/>
                <w:szCs w:val="21"/>
              </w:rPr>
              <w:t>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Cs w:val="21"/>
                <w:lang w:eastAsia="zh-CN"/>
              </w:rPr>
              <w:t>服务</w:t>
            </w:r>
            <w:r>
              <w:rPr>
                <w:rFonts w:hint="eastAsia" w:ascii="宋体" w:hAnsi="宋体" w:cs="宋体"/>
                <w:color w:val="000000"/>
                <w:szCs w:val="21"/>
              </w:rPr>
              <w:t>质量符合要求、</w:t>
            </w:r>
            <w:r>
              <w:rPr>
                <w:rFonts w:hint="eastAsia" w:ascii="宋体" w:hAnsi="宋体" w:cs="宋体"/>
                <w:color w:val="000000"/>
                <w:szCs w:val="21"/>
                <w:lang w:eastAsia="zh-CN"/>
              </w:rPr>
              <w:t>服务及时</w:t>
            </w:r>
            <w:r>
              <w:rPr>
                <w:rFonts w:hint="eastAsia" w:ascii="宋体" w:hAnsi="宋体" w:cs="宋体"/>
                <w:color w:val="000000"/>
                <w:szCs w:val="21"/>
              </w:rPr>
              <w:t>、价格合理等。对相关方的要求的监视和评审的方法多样，通过QQ和微信等现代通讯手段是常用的便捷而又高效主要方法。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质量第一    精益求精    顾客至上    持续改进</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环境方针： 全员参与　　遵守法规　　预防为主　　持续改进。</w:t>
            </w:r>
          </w:p>
          <w:p>
            <w:pPr>
              <w:rPr>
                <w:rFonts w:ascii="宋体" w:hAnsi="宋体"/>
                <w:b/>
                <w:szCs w:val="21"/>
              </w:rPr>
            </w:pPr>
            <w:r>
              <w:rPr>
                <w:rFonts w:hint="eastAsia" w:asciiTheme="minorEastAsia" w:hAnsiTheme="minorEastAsia" w:eastAsiaTheme="minorEastAsia" w:cstheme="minorEastAsia"/>
                <w:szCs w:val="21"/>
              </w:rPr>
              <w:t>职业健康安全管理方针：安全第一    预防为主    遵守法规    确保安康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hanging="211" w:hangingChars="100"/>
              <w:rPr>
                <w:rFonts w:hint="eastAsia" w:ascii="宋体" w:hAnsi="宋体" w:eastAsia="宋体"/>
                <w:b/>
                <w:szCs w:val="21"/>
                <w:lang w:eastAsia="zh-CN"/>
              </w:rPr>
            </w:pPr>
            <w:r>
              <w:rPr>
                <w:rFonts w:ascii="宋体" w:hAnsi="宋体"/>
                <w:b/>
                <w:szCs w:val="21"/>
              </w:rPr>
              <w:pict>
                <v:shape id="_x0000_s2050" o:spid="_x0000_s2050"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Times New Roman" w:hAnsi="Times New Roman" w:eastAsia="宋体" w:cs="Times New Roman"/>
                <w:szCs w:val="21"/>
                <w:highlight w:val="none"/>
              </w:rPr>
              <w:t>公司的产品按客户要求及相关标准进行</w:t>
            </w:r>
            <w:r>
              <w:rPr>
                <w:rFonts w:hint="eastAsia" w:ascii="Times New Roman" w:hAnsi="Times New Roman" w:eastAsia="宋体" w:cs="Times New Roman"/>
                <w:szCs w:val="21"/>
                <w:highlight w:val="none"/>
                <w:lang w:val="en-US" w:eastAsia="zh-CN"/>
              </w:rPr>
              <w:t>组装</w:t>
            </w:r>
            <w:r>
              <w:rPr>
                <w:rFonts w:hint="eastAsia" w:ascii="Times New Roman" w:hAnsi="Times New Roman" w:eastAsia="宋体" w:cs="Times New Roman"/>
                <w:szCs w:val="21"/>
                <w:highlight w:val="none"/>
              </w:rPr>
              <w:t>，整个</w:t>
            </w:r>
            <w:r>
              <w:rPr>
                <w:rFonts w:hint="eastAsia" w:ascii="Times New Roman" w:hAnsi="Times New Roman" w:eastAsia="宋体" w:cs="Times New Roman"/>
                <w:szCs w:val="21"/>
                <w:highlight w:val="none"/>
                <w:lang w:eastAsia="zh-CN"/>
              </w:rPr>
              <w:t>组装过程</w:t>
            </w:r>
            <w:r>
              <w:rPr>
                <w:rFonts w:hint="eastAsia" w:ascii="Times New Roman" w:hAnsi="Times New Roman" w:eastAsia="宋体" w:cs="Times New Roman"/>
                <w:szCs w:val="21"/>
                <w:highlight w:val="none"/>
              </w:rPr>
              <w:t>不涉及设计开发的内容。8.3条款的不适用不影响组织提供满足顾客要求及法律法规要求</w:t>
            </w:r>
            <w:r>
              <w:rPr>
                <w:rFonts w:hint="eastAsia" w:cs="Times New Roman"/>
                <w:szCs w:val="21"/>
                <w:highlight w:val="none"/>
                <w:lang w:val="en-US" w:eastAsia="zh-CN"/>
              </w:rPr>
              <w:t>的</w:t>
            </w:r>
            <w:r>
              <w:rPr>
                <w:rFonts w:hint="eastAsia" w:ascii="Times New Roman" w:hAnsi="Times New Roman" w:eastAsia="宋体" w:cs="Times New Roman"/>
                <w:szCs w:val="21"/>
                <w:highlight w:val="none"/>
              </w:rPr>
              <w:t>产品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color w:val="auto"/>
                <w:szCs w:val="21"/>
              </w:rPr>
            </w:pPr>
            <w:r>
              <w:rPr>
                <w:rFonts w:hint="eastAsia" w:ascii="宋体" w:hAnsi="宋体" w:cs="宋体"/>
                <w:bCs/>
                <w:iCs/>
                <w:color w:val="auto"/>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7.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职业健康安全危险源</w:t>
            </w:r>
          </w:p>
          <w:p>
            <w:pPr>
              <w:spacing w:line="240" w:lineRule="exact"/>
              <w:rPr>
                <w:rFonts w:ascii="宋体" w:hAnsi="宋体"/>
                <w:b/>
                <w:color w:val="auto"/>
                <w:szCs w:val="21"/>
              </w:rPr>
            </w:pPr>
            <w:r>
              <w:rPr>
                <w:rFonts w:hint="eastAsia" w:ascii="宋体" w:hAnsi="宋体"/>
                <w:b/>
                <w:color w:val="auto"/>
                <w:szCs w:val="21"/>
              </w:rPr>
              <w:t>（职业健康安全危险源辨识是否充分、风险评价合理性，以及风险评价动态变更的及时性等）</w:t>
            </w:r>
          </w:p>
          <w:p>
            <w:pPr>
              <w:spacing w:line="240" w:lineRule="exact"/>
              <w:ind w:firstLine="210" w:firstLineChars="100"/>
              <w:rPr>
                <w:rFonts w:ascii="宋体" w:hAnsi="宋体"/>
                <w:b/>
                <w:color w:val="auto"/>
                <w:szCs w:val="21"/>
              </w:rPr>
            </w:pPr>
            <w:r>
              <w:rPr>
                <w:rFonts w:hint="eastAsia" w:ascii="宋体" w:hAnsi="宋体" w:cs="宋体"/>
                <w:color w:val="auto"/>
                <w:szCs w:val="21"/>
              </w:rPr>
              <w:t>组织建立了危险源识别、评价控制程序，识别评价了危险源、风险相关的过程，评价出了</w:t>
            </w:r>
            <w:r>
              <w:rPr>
                <w:rFonts w:hint="eastAsia" w:ascii="宋体" w:hAnsi="宋体" w:cs="宋体"/>
                <w:color w:val="auto"/>
                <w:szCs w:val="21"/>
                <w:lang w:eastAsia="zh-CN"/>
              </w:rPr>
              <w:t>火灾、触电、</w:t>
            </w:r>
            <w:r>
              <w:rPr>
                <w:rFonts w:hint="eastAsia" w:ascii="宋体" w:hAnsi="宋体" w:cs="宋体"/>
                <w:color w:val="auto"/>
                <w:szCs w:val="21"/>
                <w:lang w:val="en-US" w:eastAsia="zh-CN"/>
              </w:rPr>
              <w:t>机械伤害</w:t>
            </w:r>
            <w:r>
              <w:rPr>
                <w:rFonts w:hint="eastAsia" w:ascii="宋体" w:hAnsi="宋体" w:cs="宋体"/>
                <w:color w:val="auto"/>
                <w:szCs w:val="21"/>
                <w:lang w:eastAsia="zh-CN"/>
              </w:rPr>
              <w:t>等</w:t>
            </w:r>
            <w:r>
              <w:rPr>
                <w:rFonts w:hint="eastAsia" w:ascii="宋体" w:hAnsi="宋体" w:cs="宋体"/>
                <w:color w:val="auto"/>
                <w:szCs w:val="21"/>
              </w:rPr>
              <w:t>重要危险源，与之相关的过程有</w:t>
            </w:r>
            <w:r>
              <w:rPr>
                <w:rFonts w:hint="eastAsia" w:ascii="宋体" w:hAnsi="宋体" w:cs="宋体"/>
                <w:color w:val="auto"/>
                <w:szCs w:val="21"/>
                <w:lang w:val="en-US" w:eastAsia="zh-CN"/>
              </w:rPr>
              <w:t>组装</w:t>
            </w:r>
            <w:r>
              <w:rPr>
                <w:rFonts w:hint="eastAsia" w:ascii="宋体" w:hAnsi="宋体" w:cs="宋体"/>
                <w:color w:val="auto"/>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6"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9</w:t>
            </w:r>
            <w:r>
              <w:t xml:space="preserve">. </w:t>
            </w:r>
            <w:r>
              <w:rPr>
                <w:rFonts w:hint="eastAsia"/>
              </w:rPr>
              <w:t>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hint="eastAsia"/>
                <w:lang w:eastAsia="zh-CN"/>
              </w:rPr>
            </w:pPr>
            <w:r>
              <w:rPr>
                <w:rFonts w:hint="eastAsia"/>
              </w:rPr>
              <w:t>质量</w:t>
            </w:r>
            <w:r>
              <w:rPr>
                <w:rFonts w:hint="eastAsia"/>
                <w:lang w:eastAsia="zh-CN"/>
              </w:rPr>
              <w:t>、</w:t>
            </w:r>
            <w:r>
              <w:rPr>
                <w:rFonts w:hint="eastAsia"/>
              </w:rPr>
              <w:t>环境</w:t>
            </w:r>
            <w:r>
              <w:rPr>
                <w:rFonts w:hint="eastAsia"/>
                <w:lang w:eastAsia="zh-CN"/>
              </w:rPr>
              <w:t>、</w:t>
            </w:r>
            <w:r>
              <w:rPr>
                <w:rFonts w:hint="eastAsia"/>
              </w:rPr>
              <w:t>职业健康安全目标</w:t>
            </w:r>
            <w:r>
              <w:rPr>
                <w:rFonts w:hint="eastAsia"/>
                <w:lang w:eastAsia="zh-CN"/>
              </w:rPr>
              <w:t>：</w:t>
            </w:r>
          </w:p>
          <w:p>
            <w:pPr>
              <w:rPr>
                <w:rFonts w:hint="eastAsia"/>
              </w:rPr>
            </w:pPr>
            <w:r>
              <w:rPr>
                <w:rFonts w:hint="eastAsia"/>
                <w:lang w:val="en-US" w:eastAsia="zh-CN"/>
              </w:rPr>
              <w:t>1)</w:t>
            </w:r>
            <w:r>
              <w:rPr>
                <w:rFonts w:hint="eastAsia"/>
              </w:rPr>
              <w:t>产品交付合格率≥100%</w:t>
            </w:r>
          </w:p>
          <w:p>
            <w:pPr>
              <w:rPr>
                <w:rFonts w:hint="eastAsia"/>
              </w:rPr>
            </w:pPr>
            <w:r>
              <w:rPr>
                <w:rFonts w:hint="eastAsia"/>
                <w:lang w:val="en-US" w:eastAsia="zh-CN"/>
              </w:rPr>
              <w:t>2)</w:t>
            </w:r>
            <w:r>
              <w:rPr>
                <w:rFonts w:hint="eastAsia"/>
              </w:rPr>
              <w:t>合同按时完成率≥100%</w:t>
            </w:r>
          </w:p>
          <w:p>
            <w:pPr>
              <w:rPr>
                <w:rFonts w:hint="eastAsia"/>
              </w:rPr>
            </w:pPr>
            <w:r>
              <w:rPr>
                <w:rFonts w:hint="eastAsia"/>
                <w:lang w:val="en-US" w:eastAsia="zh-CN"/>
              </w:rPr>
              <w:t>3)</w:t>
            </w:r>
            <w:r>
              <w:rPr>
                <w:rFonts w:hint="eastAsia"/>
              </w:rPr>
              <w:t xml:space="preserve">顾客满意率≥96分 </w:t>
            </w:r>
          </w:p>
          <w:p>
            <w:pPr>
              <w:rPr>
                <w:rFonts w:hint="eastAsia"/>
              </w:rPr>
            </w:pPr>
            <w:r>
              <w:rPr>
                <w:rFonts w:hint="eastAsia"/>
                <w:lang w:val="en-US" w:eastAsia="zh-CN"/>
              </w:rPr>
              <w:t>4)</w:t>
            </w:r>
            <w:r>
              <w:rPr>
                <w:rFonts w:hint="eastAsia"/>
              </w:rPr>
              <w:t>办公、生活废弃物分类收集处理率100%</w:t>
            </w:r>
          </w:p>
          <w:p>
            <w:pPr>
              <w:rPr>
                <w:rFonts w:hint="eastAsia"/>
              </w:rPr>
            </w:pPr>
            <w:r>
              <w:rPr>
                <w:rFonts w:hint="eastAsia"/>
                <w:lang w:val="en-US" w:eastAsia="zh-CN"/>
              </w:rPr>
              <w:t>5)</w:t>
            </w:r>
            <w:r>
              <w:rPr>
                <w:rFonts w:hint="eastAsia"/>
              </w:rPr>
              <w:t>火灾发生为0</w:t>
            </w:r>
          </w:p>
          <w:p>
            <w:pPr>
              <w:rPr>
                <w:rFonts w:hint="eastAsia"/>
              </w:rPr>
            </w:pPr>
            <w:r>
              <w:rPr>
                <w:rFonts w:hint="eastAsia"/>
                <w:lang w:val="en-US" w:eastAsia="zh-CN"/>
              </w:rPr>
              <w:t>6)</w:t>
            </w:r>
            <w:r>
              <w:rPr>
                <w:rFonts w:hint="eastAsia"/>
              </w:rPr>
              <w:t>重大安全事故和伤亡事故为0</w:t>
            </w:r>
          </w:p>
          <w:p>
            <w:pPr>
              <w:pStyle w:val="2"/>
              <w:rPr>
                <w:rFonts w:hint="eastAsia" w:eastAsiaTheme="minorEastAsia"/>
                <w:lang w:val="en-US" w:eastAsia="zh-CN"/>
              </w:rPr>
            </w:pPr>
            <w:r>
              <w:rPr>
                <w:rFonts w:hint="eastAsia" w:ascii="Times New Roman" w:hAnsi="Times New Roman" w:eastAsia="宋体" w:cs="Times New Roman"/>
                <w:kern w:val="2"/>
                <w:sz w:val="21"/>
                <w:szCs w:val="24"/>
                <w:lang w:val="en-US" w:eastAsia="zh-CN" w:bidi="ar-SA"/>
              </w:rPr>
              <w:t>7）职业病发生率为0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rPr>
                <w:rFonts w:ascii="宋体" w:hAnsi="宋体"/>
                <w:b/>
                <w:szCs w:val="21"/>
              </w:rPr>
            </w:pPr>
            <w:r>
              <w:rPr>
                <w:rFonts w:hint="eastAsia" w:ascii="宋体" w:hAnsi="宋体" w:cs="宋体"/>
                <w:szCs w:val="21"/>
                <w:highlight w:val="none"/>
                <w:lang w:val="en-US" w:eastAsia="zh-CN"/>
              </w:rPr>
              <w:t>公司办公室面积50平，</w:t>
            </w:r>
            <w:r>
              <w:rPr>
                <w:rFonts w:hint="eastAsia" w:ascii="宋体" w:hAnsi="宋体"/>
                <w:szCs w:val="21"/>
                <w:highlight w:val="none"/>
                <w:lang w:eastAsia="zh-CN"/>
              </w:rPr>
              <w:t>无库房</w:t>
            </w:r>
            <w:r>
              <w:rPr>
                <w:rFonts w:hint="eastAsia" w:ascii="宋体" w:hAnsi="宋体"/>
                <w:szCs w:val="21"/>
                <w:highlight w:val="none"/>
                <w:lang w:val="en-US" w:eastAsia="zh-CN"/>
              </w:rPr>
              <w:t>。</w:t>
            </w:r>
            <w:r>
              <w:rPr>
                <w:rFonts w:hint="eastAsia" w:ascii="宋体" w:hAnsi="宋体"/>
                <w:bCs/>
                <w:iCs/>
                <w:szCs w:val="22"/>
                <w:lang w:val="en-US" w:eastAsia="zh-CN"/>
              </w:rPr>
              <w:t>主要生产设备包括：</w:t>
            </w:r>
            <w:r>
              <w:rPr>
                <w:rFonts w:hint="eastAsia" w:ascii="宋体" w:hAnsi="宋体" w:eastAsia="宋体" w:cs="Times New Roman"/>
                <w:color w:val="auto"/>
                <w:szCs w:val="21"/>
                <w:lang w:val="en-US" w:eastAsia="zh-CN"/>
              </w:rPr>
              <w:t>电钻、手枪钻等及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可以满足产品组装需要。对设备按月方式进行点检维护保养，并实施。特种设备：无。公司未建立信息管理系统用于生产和服务。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auto"/>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default" w:ascii="宋体" w:hAnsi="宋体" w:eastAsia="宋体"/>
                <w:b/>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w:t>
            </w:r>
            <w:r>
              <w:rPr>
                <w:rFonts w:hint="eastAsia" w:ascii="宋体" w:hAnsi="宋体" w:cs="宋体"/>
                <w:color w:val="000000"/>
                <w:szCs w:val="21"/>
                <w:lang w:val="en-US" w:eastAsia="zh-CN"/>
              </w:rPr>
              <w:t>组装</w:t>
            </w:r>
            <w:r>
              <w:rPr>
                <w:rFonts w:hint="eastAsia" w:ascii="宋体" w:hAnsi="宋体" w:cs="宋体"/>
                <w:color w:val="000000"/>
                <w:szCs w:val="21"/>
              </w:rPr>
              <w:t>过程，从审核过程看，公司的服务质量管理基本受控。QMS关键工序(过程)特殊过程</w:t>
            </w:r>
            <w:r>
              <w:rPr>
                <w:rFonts w:hint="eastAsia" w:ascii="宋体" w:hAnsi="宋体" w:cs="宋体"/>
                <w:color w:val="000000"/>
                <w:szCs w:val="21"/>
                <w:lang w:eastAsia="zh-CN"/>
              </w:rPr>
              <w:t>为</w:t>
            </w:r>
            <w:r>
              <w:rPr>
                <w:rFonts w:hint="eastAsia" w:ascii="宋体" w:hAnsi="宋体" w:cs="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color w:val="auto"/>
                <w:szCs w:val="21"/>
              </w:rPr>
              <w:t>组织重要环境因素为潜在火灾、固废排放</w:t>
            </w:r>
            <w:r>
              <w:rPr>
                <w:rFonts w:hint="eastAsia"/>
                <w:color w:val="000000"/>
                <w:lang w:val="en-US" w:eastAsia="zh-CN"/>
              </w:rPr>
              <w:t>资源、噪声排放</w:t>
            </w:r>
            <w:r>
              <w:rPr>
                <w:rFonts w:hint="eastAsia" w:asciiTheme="minorEastAsia" w:hAnsiTheme="minorEastAsia" w:eastAsiaTheme="minorEastAsia"/>
                <w:bCs/>
                <w:iCs/>
                <w:color w:val="auto"/>
                <w:szCs w:val="21"/>
              </w:rPr>
              <w:t>，需要应对的风险和机遇相关的过程为</w:t>
            </w:r>
            <w:r>
              <w:rPr>
                <w:rFonts w:hint="eastAsia" w:asciiTheme="minorEastAsia" w:hAnsiTheme="minorEastAsia" w:eastAsiaTheme="minorEastAsia"/>
                <w:bCs/>
                <w:iCs/>
                <w:color w:val="auto"/>
                <w:szCs w:val="21"/>
                <w:lang w:val="en-US" w:eastAsia="zh-CN"/>
              </w:rPr>
              <w:t>产品</w:t>
            </w:r>
            <w:r>
              <w:rPr>
                <w:rFonts w:hint="eastAsia" w:asciiTheme="minorEastAsia" w:hAnsiTheme="minorEastAsia" w:eastAsiaTheme="minorEastAsia"/>
                <w:bCs/>
                <w:iCs/>
                <w:color w:val="auto"/>
                <w:szCs w:val="21"/>
                <w:lang w:eastAsia="zh-CN"/>
              </w:rPr>
              <w:t>销售</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垃圾分类收集</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val="en-US" w:eastAsia="zh-CN"/>
              </w:rPr>
              <w:t>处置</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color w:val="auto"/>
                <w:szCs w:val="21"/>
                <w:lang w:val="en-US" w:eastAsia="zh-CN"/>
              </w:rPr>
              <w:t>等</w:t>
            </w:r>
            <w:r>
              <w:rPr>
                <w:rFonts w:hint="eastAsia" w:asciiTheme="minorEastAsia" w:hAnsiTheme="minorEastAsia" w:eastAsiaTheme="minorEastAsia"/>
                <w:bCs/>
                <w:iCs/>
                <w:color w:val="auto"/>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源（火灾、</w:t>
            </w:r>
            <w:r>
              <w:rPr>
                <w:rFonts w:hint="eastAsia" w:asciiTheme="minorEastAsia" w:hAnsiTheme="minorEastAsia" w:eastAsiaTheme="minorEastAsia"/>
                <w:bCs/>
                <w:iCs/>
                <w:color w:val="auto"/>
                <w:szCs w:val="21"/>
                <w:highlight w:val="none"/>
                <w:lang w:eastAsia="zh-CN"/>
              </w:rPr>
              <w:t>触电</w:t>
            </w:r>
            <w:r>
              <w:rPr>
                <w:rFonts w:hint="eastAsia" w:asciiTheme="minorEastAsia" w:hAnsiTheme="minorEastAsia" w:eastAsiaTheme="minorEastAsia"/>
                <w:bCs/>
                <w:iCs/>
                <w:color w:val="auto"/>
                <w:szCs w:val="21"/>
                <w:highlight w:val="none"/>
              </w:rPr>
              <w:t>等），与之相关的过程有</w:t>
            </w:r>
            <w:r>
              <w:rPr>
                <w:rFonts w:hint="eastAsia" w:asciiTheme="minorEastAsia" w:hAnsiTheme="minorEastAsia" w:eastAsiaTheme="minorEastAsia"/>
                <w:bCs/>
                <w:iCs/>
                <w:color w:val="auto"/>
                <w:szCs w:val="21"/>
                <w:highlight w:val="none"/>
                <w:lang w:eastAsia="zh-CN"/>
              </w:rPr>
              <w:t>合同评审、</w:t>
            </w:r>
            <w:r>
              <w:rPr>
                <w:rFonts w:hint="eastAsia" w:asciiTheme="minorEastAsia" w:hAnsiTheme="minorEastAsia" w:eastAsiaTheme="minorEastAsia"/>
                <w:bCs/>
                <w:iCs/>
                <w:color w:val="auto"/>
                <w:szCs w:val="21"/>
                <w:highlight w:val="none"/>
                <w:lang w:val="en-US" w:eastAsia="zh-CN"/>
              </w:rPr>
              <w:t>销售产品的</w:t>
            </w:r>
            <w:r>
              <w:rPr>
                <w:rFonts w:hint="eastAsia" w:asciiTheme="minorEastAsia" w:hAnsiTheme="minorEastAsia" w:eastAsiaTheme="minorEastAsia"/>
                <w:bCs/>
                <w:iCs/>
                <w:color w:val="auto"/>
                <w:szCs w:val="21"/>
                <w:highlight w:val="none"/>
                <w:lang w:eastAsia="zh-CN"/>
              </w:rPr>
              <w:t>采购、组装过程</w:t>
            </w:r>
            <w:r>
              <w:rPr>
                <w:rFonts w:hint="eastAsia" w:asciiTheme="minorEastAsia" w:hAnsiTheme="minorEastAsia" w:eastAsiaTheme="minorEastAsia"/>
                <w:bCs/>
                <w:i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cs="Times New Roman" w:asciiTheme="minorEastAsia" w:hAnsiTheme="minorEastAsia" w:eastAsiaTheme="minorEastAsia"/>
                <w:bCs/>
                <w:i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w:t>
            </w:r>
            <w:r>
              <w:rPr>
                <w:rFonts w:hint="eastAsia" w:cs="Times New Roman" w:asciiTheme="minorEastAsia" w:hAnsiTheme="minorEastAsia" w:eastAsiaTheme="minorEastAsia"/>
                <w:bCs/>
                <w:iCs/>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6</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月实施，满意度评价9</w:t>
            </w:r>
            <w:r>
              <w:rPr>
                <w:rFonts w:hint="eastAsia" w:ascii="宋体" w:hAnsi="宋体" w:cs="宋体"/>
                <w:color w:val="auto"/>
                <w:szCs w:val="21"/>
                <w:lang w:val="en-US" w:eastAsia="zh-CN"/>
              </w:rPr>
              <w:t>6</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eastAsia="宋体" w:cs="Times New Roman"/>
                <w:szCs w:val="21"/>
              </w:rPr>
              <w:t>涉及</w:t>
            </w:r>
            <w:r>
              <w:rPr>
                <w:rFonts w:hint="eastAsia" w:ascii="宋体" w:hAnsi="宋体" w:eastAsia="宋体" w:cs="Times New Roman"/>
                <w:szCs w:val="21"/>
                <w:lang w:eastAsia="zh-CN"/>
              </w:rPr>
              <w:t>行政部</w:t>
            </w:r>
            <w:r>
              <w:rPr>
                <w:rFonts w:hint="eastAsia" w:ascii="宋体" w:hAnsi="宋体" w:eastAsia="宋体" w:cs="Times New Roman"/>
                <w:szCs w:val="21"/>
              </w:rPr>
              <w:t>GB/T19001-2016</w:t>
            </w:r>
            <w:r>
              <w:rPr>
                <w:rFonts w:hint="eastAsia" w:ascii="宋体" w:hAnsi="宋体" w:eastAsia="宋体" w:cs="Times New Roman"/>
                <w:szCs w:val="21"/>
                <w:lang w:val="en-US" w:eastAsia="zh-CN"/>
              </w:rPr>
              <w:t>/</w:t>
            </w:r>
            <w:r>
              <w:rPr>
                <w:rFonts w:hint="eastAsia" w:ascii="宋体" w:hAnsi="宋体" w:eastAsia="宋体" w:cs="Times New Roman"/>
                <w:szCs w:val="21"/>
              </w:rPr>
              <w:t>GB/T24001-2016/ISO450</w:t>
            </w:r>
            <w:r>
              <w:rPr>
                <w:rFonts w:hint="eastAsia" w:ascii="宋体" w:hAnsi="宋体"/>
                <w:szCs w:val="21"/>
              </w:rPr>
              <w:t>01:2018标准</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5.3</w:t>
            </w:r>
            <w:r>
              <w:rPr>
                <w:rFonts w:hint="eastAsia" w:ascii="宋体" w:hAnsi="宋体"/>
                <w:szCs w:val="21"/>
              </w:rPr>
              <w:t>条款</w:t>
            </w:r>
            <w:r>
              <w:rPr>
                <w:rFonts w:hint="eastAsia" w:ascii="宋体" w:hAnsi="宋体"/>
                <w:szCs w:val="21"/>
                <w:lang w:eastAsia="zh-CN"/>
              </w:rPr>
              <w:t>“</w:t>
            </w:r>
            <w:r>
              <w:rPr>
                <w:rFonts w:hint="eastAsia" w:ascii="宋体" w:hAnsi="宋体" w:eastAsia="宋体" w:cs="宋体"/>
                <w:sz w:val="21"/>
                <w:szCs w:val="21"/>
              </w:rPr>
              <w:t>现场审核时，</w:t>
            </w:r>
            <w:r>
              <w:rPr>
                <w:rFonts w:hint="eastAsia" w:ascii="宋体" w:hAnsi="宋体" w:eastAsia="宋体" w:cs="宋体"/>
                <w:sz w:val="21"/>
                <w:szCs w:val="21"/>
                <w:lang w:val="en-US" w:eastAsia="zh-CN"/>
              </w:rPr>
              <w:t>发现</w:t>
            </w:r>
            <w:r>
              <w:rPr>
                <w:rFonts w:hint="eastAsia" w:ascii="宋体" w:hAnsi="宋体"/>
                <w:szCs w:val="21"/>
              </w:rPr>
              <w:t>未及时更新法律法规清单</w:t>
            </w:r>
            <w:r>
              <w:rPr>
                <w:rFonts w:hint="eastAsia" w:ascii="宋体" w:hAnsi="宋体" w:eastAsia="宋体" w:cs="Times New Roman"/>
                <w:szCs w:val="21"/>
              </w:rPr>
              <w:t>”及时进行统计和分析</w:t>
            </w:r>
            <w:r>
              <w:rPr>
                <w:rFonts w:hint="eastAsia" w:ascii="宋体" w:hAnsi="宋体"/>
                <w:szCs w:val="21"/>
                <w:highlight w:val="none"/>
              </w:rPr>
              <w:t>，</w:t>
            </w:r>
            <w:r>
              <w:rPr>
                <w:rFonts w:hint="eastAsia" w:ascii="宋体" w:hAnsi="宋体" w:cs="宋体"/>
                <w:szCs w:val="21"/>
                <w:highlight w:val="none"/>
              </w:rPr>
              <w:t>针对该不符合项，已及时采取纠正措</w:t>
            </w:r>
            <w:r>
              <w:rPr>
                <w:rFonts w:hint="eastAsia" w:ascii="宋体" w:hAnsi="宋体" w:cs="宋体"/>
                <w:szCs w:val="21"/>
              </w:rPr>
              <w:t>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rPr>
                <w:rFonts w:ascii="宋体" w:hAnsi="宋体"/>
                <w:b/>
                <w:color w:val="auto"/>
                <w:szCs w:val="21"/>
              </w:rPr>
            </w:pPr>
            <w:r>
              <w:rPr>
                <w:rFonts w:hint="eastAsia" w:ascii="宋体" w:hAnsi="宋体"/>
                <w:b/>
                <w:color w:val="auto"/>
                <w:szCs w:val="21"/>
                <w:lang w:val="en-US" w:eastAsia="zh-CN"/>
              </w:rPr>
              <w:t>5.</w:t>
            </w:r>
            <w:r>
              <w:rPr>
                <w:rFonts w:ascii="宋体" w:hAnsi="宋体"/>
                <w:b/>
                <w:color w:val="auto"/>
                <w:szCs w:val="21"/>
              </w:rPr>
              <w:t xml:space="preserve"> EMS</w:t>
            </w:r>
            <w:r>
              <w:rPr>
                <w:rFonts w:hint="eastAsia" w:ascii="宋体" w:hAnsi="宋体"/>
                <w:b/>
                <w:color w:val="auto"/>
                <w:szCs w:val="21"/>
              </w:rPr>
              <w:t>是否按规定对主要污染物（污水、废气、噪声、废渣等）及排放实施了例行的监视或测量，结果是否满足相关要求？</w:t>
            </w:r>
          </w:p>
          <w:p>
            <w:pPr>
              <w:spacing w:line="240" w:lineRule="exact"/>
              <w:rPr>
                <w:rFonts w:ascii="宋体" w:hAnsi="宋体"/>
                <w:b/>
                <w:color w:val="auto"/>
                <w:szCs w:val="21"/>
              </w:rPr>
            </w:pPr>
            <w:r>
              <w:rPr>
                <w:rFonts w:hint="eastAsia" w:ascii="宋体" w:hAnsi="宋体"/>
                <w:b/>
                <w:color w:val="auto"/>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6.  EMS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地方环保部门监测结果、新改扩建项目符合环评报告、三同时验收报告要求情况及措施</w:t>
            </w:r>
            <w:r>
              <w:rPr>
                <w:rFonts w:ascii="宋体" w:hAnsi="宋体"/>
                <w:b/>
                <w:color w:val="auto"/>
                <w:szCs w:val="21"/>
              </w:rPr>
              <w:t>(98</w:t>
            </w:r>
            <w:r>
              <w:rPr>
                <w:rFonts w:hint="eastAsia" w:ascii="宋体" w:hAnsi="宋体"/>
                <w:b/>
                <w:color w:val="auto"/>
                <w:szCs w:val="21"/>
              </w:rPr>
              <w:t>年后</w:t>
            </w:r>
            <w:r>
              <w:rPr>
                <w:rFonts w:ascii="宋体" w:hAnsi="宋体"/>
                <w:b/>
                <w:color w:val="auto"/>
                <w:szCs w:val="21"/>
              </w:rPr>
              <w:t xml:space="preserve">) </w:t>
            </w: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7. OHSMS</w:t>
            </w:r>
            <w:r>
              <w:rPr>
                <w:rFonts w:hint="eastAsia" w:ascii="宋体" w:hAnsi="宋体"/>
                <w:b/>
                <w:color w:val="auto"/>
                <w:szCs w:val="21"/>
              </w:rPr>
              <w:t>是否按规定对职业健康安全项目进行定期测量，结果是否满足相关要求：</w:t>
            </w:r>
          </w:p>
          <w:p>
            <w:pPr>
              <w:spacing w:line="240" w:lineRule="exact"/>
              <w:rPr>
                <w:rFonts w:ascii="宋体" w:hAnsi="宋体"/>
                <w:b/>
                <w:color w:val="auto"/>
                <w:szCs w:val="21"/>
              </w:rPr>
            </w:pP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8.OHSMS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地方职业健康安全部门监督检查情况及措施</w:t>
            </w:r>
          </w:p>
          <w:p>
            <w:pPr>
              <w:spacing w:line="240" w:lineRule="exact"/>
              <w:rPr>
                <w:rFonts w:ascii="宋体" w:hAnsi="宋体"/>
                <w:b/>
                <w:color w:val="auto"/>
                <w:szCs w:val="21"/>
              </w:rPr>
            </w:pPr>
            <w:r>
              <w:rPr>
                <w:rFonts w:hint="eastAsia"/>
                <w:b/>
                <w:color w:val="auto"/>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color w:val="auto"/>
                <w:szCs w:val="21"/>
              </w:rPr>
            </w:pPr>
            <w:r>
              <w:rPr>
                <w:rFonts w:ascii="宋体" w:hAnsi="宋体"/>
                <w:b/>
                <w:color w:val="auto"/>
                <w:szCs w:val="21"/>
              </w:rPr>
              <w:t xml:space="preserve">9. </w:t>
            </w:r>
            <w:r>
              <w:rPr>
                <w:rFonts w:hint="eastAsia" w:ascii="宋体" w:hAnsi="宋体"/>
                <w:b/>
                <w:color w:val="auto"/>
                <w:szCs w:val="21"/>
              </w:rPr>
              <w:t>其他能够标明组织绩效、信誉的证据</w:t>
            </w:r>
            <w:r>
              <w:rPr>
                <w:rFonts w:ascii="宋体" w:hAnsi="宋体"/>
                <w:b/>
                <w:color w:val="auto"/>
                <w:szCs w:val="21"/>
              </w:rPr>
              <w:t>/</w:t>
            </w:r>
            <w:r>
              <w:rPr>
                <w:rFonts w:hint="eastAsia" w:ascii="宋体" w:hAnsi="宋体"/>
                <w:b/>
                <w:color w:val="auto"/>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auto"/>
                <w:sz w:val="20"/>
                <w:szCs w:val="20"/>
              </w:rPr>
            </w:pPr>
            <w:r>
              <w:rPr>
                <w:rFonts w:hint="eastAsia"/>
                <w:b/>
                <w:color w:val="auto"/>
                <w:sz w:val="20"/>
                <w:szCs w:val="20"/>
              </w:rPr>
              <w:t>3. 一阶段提出问题的整改情况?</w:t>
            </w:r>
          </w:p>
          <w:p>
            <w:pPr>
              <w:spacing w:line="240" w:lineRule="exact"/>
              <w:ind w:left="-105" w:leftChars="-50" w:firstLine="531" w:firstLineChars="252"/>
              <w:rPr>
                <w:rFonts w:hint="default" w:ascii="宋体" w:hAnsi="宋体" w:eastAsia="宋体"/>
                <w:b/>
                <w:szCs w:val="21"/>
                <w:lang w:val="en-US" w:eastAsia="zh-CN"/>
              </w:rPr>
            </w:pPr>
            <w:r>
              <w:rPr>
                <w:rFonts w:hint="eastAsia" w:ascii="宋体" w:hAnsi="宋体" w:eastAsia="宋体"/>
                <w:b/>
                <w:szCs w:val="21"/>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本次审核共开具不符合项报告1项；其中</w:t>
      </w:r>
      <w:r>
        <w:rPr>
          <w:b/>
          <w:color w:val="auto"/>
          <w:highlight w:val="none"/>
        </w:rPr>
        <w:pict>
          <v:line id="直接连接符 1" o:spid="_x0000_s2051" o:spt="20" style="position:absolute;left:0pt;margin-left:210pt;margin-top:16.2pt;height:0pt;width:0pt;z-index:25166233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highlight w:val="none"/>
        </w:rPr>
        <w:t>严重不符合 0项，一般不符合 1项，观察项</w:t>
      </w:r>
      <w:r>
        <w:rPr>
          <w:rFonts w:hint="eastAsia"/>
          <w:b/>
          <w:color w:val="auto"/>
          <w:highlight w:val="none"/>
          <w:lang w:val="en-US" w:eastAsia="zh-CN"/>
        </w:rPr>
        <w:t>0</w:t>
      </w:r>
      <w:r>
        <w:rPr>
          <w:rFonts w:hint="eastAsia"/>
          <w:b/>
          <w:color w:val="auto"/>
          <w:highlight w:val="none"/>
        </w:rPr>
        <w:t>项，</w:t>
      </w:r>
      <w:r>
        <w:rPr>
          <w:rFonts w:hint="eastAsia"/>
          <w:b/>
          <w:color w:val="auto"/>
          <w:highlight w:val="none"/>
          <w:lang w:val="en-US" w:eastAsia="zh-CN"/>
        </w:rPr>
        <w:t>不符合项</w:t>
      </w:r>
      <w:r>
        <w:rPr>
          <w:rFonts w:hint="eastAsia"/>
          <w:b/>
          <w:color w:val="auto"/>
          <w:highlight w:val="none"/>
        </w:rPr>
        <w:t>分布在</w:t>
      </w:r>
      <w:r>
        <w:rPr>
          <w:rFonts w:hint="eastAsia"/>
          <w:b/>
          <w:color w:val="auto"/>
          <w:highlight w:val="none"/>
          <w:lang w:val="en-US" w:eastAsia="zh-CN"/>
        </w:rPr>
        <w:t>市场部门Q8.5.1f</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080" w:type="dxa"/>
          </w:tcPr>
          <w:p>
            <w:pPr>
              <w:rPr>
                <w:b/>
                <w:color w:val="000000" w:themeColor="text1"/>
              </w:rPr>
            </w:pPr>
            <w:r>
              <w:rPr>
                <w:rFonts w:hint="eastAsia"/>
                <w:b/>
                <w:color w:val="000000" w:themeColor="text1"/>
              </w:rPr>
              <w:t>2.对审核范围适宜性结论</w:t>
            </w:r>
          </w:p>
          <w:p>
            <w:pPr>
              <w:ind w:left="-105" w:leftChars="-50"/>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ind w:left="-105" w:leftChars="-50"/>
              <w:rPr>
                <w:b/>
                <w:color w:val="000000" w:themeColor="text1"/>
              </w:rPr>
            </w:pPr>
            <w:r>
              <w:rPr>
                <w:rFonts w:hint="eastAsia"/>
                <w:b/>
                <w:sz w:val="26"/>
                <w:szCs w:val="26"/>
                <w:lang w:eastAsia="zh-CN"/>
              </w:rPr>
              <w:t>□</w:t>
            </w:r>
            <w:r>
              <w:rPr>
                <w:rFonts w:hint="eastAsia"/>
                <w:b/>
                <w:color w:val="000000" w:themeColor="text1"/>
              </w:rPr>
              <w:t>审核范围变更</w:t>
            </w:r>
            <w:r>
              <w:rPr>
                <w:rFonts w:hint="eastAsia"/>
                <w:b/>
                <w:color w:val="000000" w:themeColor="text1"/>
                <w:lang w:eastAsia="zh-CN"/>
              </w:rPr>
              <w:t>为</w:t>
            </w:r>
            <w:r>
              <w:rPr>
                <w:rFonts w:hint="eastAsia"/>
                <w:b/>
                <w:color w:val="000000" w:themeColor="text1"/>
              </w:rPr>
              <w:t>，</w:t>
            </w:r>
          </w:p>
          <w:p>
            <w:pPr>
              <w:rPr>
                <w:rFonts w:hint="eastAsia" w:ascii="宋体" w:hAnsi="宋体" w:eastAsia="宋体" w:cs="Times New Roman"/>
                <w:sz w:val="21"/>
                <w:szCs w:val="21"/>
                <w:lang w:val="en-US" w:eastAsia="zh-CN"/>
              </w:rPr>
            </w:pPr>
            <w:r>
              <w:rPr>
                <w:rFonts w:hint="eastAsia" w:ascii="宋体" w:hAnsi="宋体"/>
                <w:sz w:val="21"/>
                <w:szCs w:val="21"/>
                <w:lang w:val="en-US" w:eastAsia="zh-CN"/>
              </w:rPr>
              <w:t>QMS：</w:t>
            </w:r>
            <w:r>
              <w:rPr>
                <w:rFonts w:hint="eastAsia" w:ascii="宋体" w:hAnsi="宋体" w:eastAsia="宋体" w:cs="Times New Roman"/>
                <w:sz w:val="21"/>
                <w:szCs w:val="21"/>
                <w:lang w:val="en-US" w:eastAsia="zh-CN"/>
              </w:rPr>
              <w:t>办公家具的组装及销售。</w:t>
            </w:r>
          </w:p>
          <w:p>
            <w:pPr>
              <w:spacing w:line="400" w:lineRule="exact"/>
              <w:jc w:val="both"/>
              <w:rPr>
                <w:rFonts w:hint="eastAsia" w:ascii="宋体" w:hAnsi="宋体"/>
                <w:sz w:val="21"/>
                <w:szCs w:val="21"/>
                <w:lang w:val="en-US" w:eastAsia="zh-CN"/>
              </w:rPr>
            </w:pPr>
            <w:r>
              <w:rPr>
                <w:rFonts w:hint="eastAsia" w:ascii="宋体" w:hAnsi="宋体"/>
                <w:sz w:val="21"/>
                <w:szCs w:val="21"/>
                <w:lang w:val="en-US" w:eastAsia="zh-CN"/>
              </w:rPr>
              <w:t>EMS：</w:t>
            </w:r>
            <w:r>
              <w:rPr>
                <w:rFonts w:hint="eastAsia" w:ascii="宋体" w:hAnsi="宋体" w:eastAsia="宋体" w:cs="Times New Roman"/>
                <w:sz w:val="21"/>
                <w:szCs w:val="21"/>
                <w:lang w:val="en-US" w:eastAsia="zh-CN"/>
              </w:rPr>
              <w:t>办公家具的组装及销售</w:t>
            </w:r>
            <w:r>
              <w:rPr>
                <w:rFonts w:hint="default" w:ascii="宋体" w:hAnsi="宋体" w:eastAsia="宋体" w:cs="Times New Roman"/>
                <w:sz w:val="21"/>
                <w:szCs w:val="21"/>
                <w:lang w:val="en-US" w:eastAsia="zh-CN"/>
              </w:rPr>
              <w:t>所涉及场所的相关环境管理活动</w:t>
            </w:r>
            <w:r>
              <w:rPr>
                <w:rFonts w:hint="eastAsia" w:ascii="宋体" w:hAnsi="宋体"/>
                <w:sz w:val="21"/>
                <w:szCs w:val="21"/>
                <w:lang w:val="en-US" w:eastAsia="zh-CN"/>
              </w:rPr>
              <w:t>。</w:t>
            </w:r>
          </w:p>
          <w:p>
            <w:pPr>
              <w:rPr>
                <w:b/>
                <w:color w:val="000000" w:themeColor="text1"/>
                <w:spacing w:val="-10"/>
                <w:sz w:val="22"/>
                <w:szCs w:val="22"/>
              </w:rPr>
            </w:pPr>
            <w:r>
              <w:rPr>
                <w:rFonts w:hint="eastAsia" w:ascii="宋体" w:hAnsi="宋体"/>
                <w:sz w:val="21"/>
                <w:szCs w:val="21"/>
                <w:lang w:val="en-US" w:eastAsia="zh-CN"/>
              </w:rPr>
              <w:t>OHSMS：</w:t>
            </w:r>
            <w:r>
              <w:rPr>
                <w:rFonts w:hint="eastAsia" w:ascii="宋体" w:hAnsi="宋体" w:eastAsia="宋体" w:cs="Times New Roman"/>
                <w:szCs w:val="21"/>
                <w:lang w:val="en-US" w:eastAsia="zh-CN"/>
              </w:rPr>
              <w:t>办公家具的组装及销售</w:t>
            </w:r>
            <w:r>
              <w:rPr>
                <w:rFonts w:hint="default" w:ascii="宋体" w:hAnsi="宋体" w:eastAsia="宋体" w:cs="Times New Roman"/>
                <w:szCs w:val="21"/>
                <w:lang w:val="en-US" w:eastAsia="zh-CN"/>
              </w:rPr>
              <w:t>所涉及场所的相关职业健康安全管理活动</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highlight w:val="none"/>
              </w:rPr>
            </w:pPr>
            <w:r>
              <w:rPr>
                <w:rFonts w:hint="eastAsia"/>
                <w:b/>
                <w:color w:val="000000" w:themeColor="text1"/>
                <w:spacing w:val="-10"/>
                <w:szCs w:val="21"/>
              </w:rPr>
              <w:t>□</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 xml:space="preserve">  □</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10"/>
                <w:sz w:val="22"/>
                <w:szCs w:val="22"/>
                <w:highlight w:val="none"/>
              </w:rPr>
            </w:pPr>
            <w:r>
              <w:rPr>
                <w:rFonts w:hint="eastAsia"/>
                <w:b/>
                <w:sz w:val="26"/>
                <w:szCs w:val="26"/>
                <w:highlight w:val="none"/>
              </w:rPr>
              <w:t>■</w:t>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 xml:space="preserve">(■QMS  </w:t>
            </w:r>
            <w:r>
              <w:rPr>
                <w:rFonts w:hint="eastAsia"/>
                <w:b/>
                <w:color w:val="000000" w:themeColor="text1"/>
                <w:spacing w:val="-10"/>
                <w:szCs w:val="21"/>
                <w:highlight w:val="none"/>
              </w:rPr>
              <w:t xml:space="preserve">   ■</w:t>
            </w:r>
            <w:r>
              <w:rPr>
                <w:rFonts w:hint="eastAsia"/>
                <w:b/>
                <w:color w:val="000000" w:themeColor="text1"/>
                <w:szCs w:val="21"/>
                <w:highlight w:val="none"/>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ascii="仿宋" w:hAnsi="仿宋" w:eastAsia="宋体" w:cstheme="minorBidi"/>
          <w:b/>
          <w:bCs/>
          <w:color w:val="000000" w:themeColor="text1"/>
          <w:kern w:val="24"/>
          <w:sz w:val="28"/>
          <w:szCs w:val="28"/>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1" w:leftChars="-405" w:hanging="851" w:hangingChars="326"/>
        <w:rPr>
          <w:rFonts w:hint="eastAsia" w:eastAsia="宋体"/>
          <w:b/>
          <w:color w:val="000000" w:themeColor="text1"/>
          <w:sz w:val="26"/>
          <w:szCs w:val="26"/>
          <w:lang w:eastAsia="zh-CN"/>
        </w:rPr>
      </w:pPr>
    </w:p>
    <w:p>
      <w:pPr>
        <w:spacing w:beforeLines="50" w:afterLines="50"/>
        <w:ind w:left="-130" w:leftChars="-405" w:hanging="720" w:hangingChars="326"/>
        <w:rPr>
          <w:rFonts w:hint="eastAsia" w:ascii="Times New Roman" w:hAnsi="Times New Roman" w:eastAsia="宋体" w:cs="Times New Roman"/>
          <w:b/>
          <w:color w:val="000000" w:themeColor="text1"/>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1765300</wp:posOffset>
            </wp:positionH>
            <wp:positionV relativeFrom="paragraph">
              <wp:posOffset>475615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Times New Roman" w:hAnsi="Times New Roman" w:eastAsia="宋体" w:cs="Times New Roman"/>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2419985</wp:posOffset>
            </wp:positionH>
            <wp:positionV relativeFrom="paragraph">
              <wp:posOffset>149225</wp:posOffset>
            </wp:positionV>
            <wp:extent cx="683895" cy="312420"/>
            <wp:effectExtent l="0" t="0" r="1905"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83895" cy="3124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1572895</wp:posOffset>
            </wp:positionH>
            <wp:positionV relativeFrom="paragraph">
              <wp:posOffset>144780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sz w:val="21"/>
          <w:szCs w:val="21"/>
        </w:rPr>
        <w:t>202</w:t>
      </w:r>
      <w:r>
        <w:rPr>
          <w:rFonts w:hint="eastAsia"/>
          <w:b/>
          <w:color w:val="000000" w:themeColor="text1"/>
          <w:sz w:val="21"/>
          <w:szCs w:val="21"/>
          <w:lang w:val="en-US" w:eastAsia="zh-CN"/>
        </w:rPr>
        <w:t>1</w:t>
      </w:r>
      <w:r>
        <w:rPr>
          <w:rFonts w:hint="eastAsia"/>
          <w:b/>
          <w:color w:val="000000" w:themeColor="text1"/>
          <w:sz w:val="21"/>
          <w:szCs w:val="21"/>
        </w:rPr>
        <w:t xml:space="preserve"> </w:t>
      </w:r>
      <w:r>
        <w:rPr>
          <w:rFonts w:hint="eastAsia" w:asciiTheme="minorEastAsia" w:hAnsiTheme="minorEastAsia" w:eastAsiaTheme="minorEastAsia"/>
          <w:b/>
          <w:color w:val="000000" w:themeColor="text1"/>
          <w:sz w:val="21"/>
          <w:szCs w:val="21"/>
        </w:rPr>
        <w:t>年</w:t>
      </w:r>
      <w:r>
        <w:rPr>
          <w:rFonts w:hint="eastAsia" w:asciiTheme="minorEastAsia" w:hAnsiTheme="minorEastAsia" w:eastAsiaTheme="minorEastAsia"/>
          <w:b/>
          <w:color w:val="000000" w:themeColor="text1"/>
          <w:sz w:val="21"/>
          <w:szCs w:val="21"/>
          <w:lang w:val="en-US" w:eastAsia="zh-CN"/>
        </w:rPr>
        <w:t>7</w:t>
      </w:r>
      <w:r>
        <w:rPr>
          <w:rFonts w:hint="eastAsia" w:asciiTheme="minorEastAsia" w:hAnsiTheme="minorEastAsia" w:eastAsiaTheme="minorEastAsia"/>
          <w:b/>
          <w:color w:val="000000" w:themeColor="text1"/>
          <w:sz w:val="21"/>
          <w:szCs w:val="21"/>
        </w:rPr>
        <w:t>月</w:t>
      </w:r>
      <w:r>
        <w:rPr>
          <w:rFonts w:hint="eastAsia" w:asciiTheme="minorEastAsia" w:hAnsiTheme="minorEastAsia" w:eastAsiaTheme="minorEastAsia"/>
          <w:b/>
          <w:color w:val="000000" w:themeColor="text1"/>
          <w:sz w:val="21"/>
          <w:szCs w:val="21"/>
          <w:lang w:val="en-US" w:eastAsia="zh-CN"/>
        </w:rPr>
        <w:t>21</w:t>
      </w:r>
      <w:r>
        <w:rPr>
          <w:rFonts w:hint="eastAsia" w:asciiTheme="minorEastAsia" w:hAnsiTheme="minorEastAsia" w:eastAsiaTheme="minorEastAsia"/>
          <w:b/>
          <w:color w:val="000000" w:themeColor="text1"/>
          <w:sz w:val="21"/>
          <w:szCs w:val="21"/>
        </w:rPr>
        <w:t>日</w:t>
      </w:r>
    </w:p>
    <w:p>
      <w:pPr>
        <w:spacing w:beforeLines="50" w:afterLines="50"/>
        <w:ind w:left="1" w:leftChars="-405" w:hanging="851" w:hangingChars="326"/>
        <w:rPr>
          <w:b/>
          <w:color w:val="000000" w:themeColor="text1"/>
          <w:sz w:val="26"/>
          <w:szCs w:val="26"/>
          <w:highlight w:val="none"/>
        </w:rPr>
      </w:pPr>
      <w:r>
        <w:rPr>
          <w:rFonts w:hint="eastAsia"/>
          <w:b/>
          <w:color w:val="000000" w:themeColor="text1"/>
          <w:sz w:val="26"/>
          <w:szCs w:val="26"/>
        </w:rPr>
        <w:t>十五</w:t>
      </w:r>
      <w:r>
        <w:rPr>
          <w:rFonts w:hint="eastAsia"/>
          <w:b/>
          <w:color w:val="000000" w:themeColor="text1"/>
          <w:sz w:val="26"/>
          <w:szCs w:val="26"/>
          <w:highlight w:val="none"/>
        </w:rPr>
        <w:t>、纠正措施验证结论：</w:t>
      </w:r>
    </w:p>
    <w:p>
      <w:pPr>
        <w:spacing w:line="360" w:lineRule="auto"/>
        <w:rPr>
          <w:b/>
          <w:color w:val="000000" w:themeColor="text1"/>
          <w:szCs w:val="21"/>
          <w:highlight w:val="none"/>
        </w:rPr>
      </w:pPr>
      <w:r>
        <w:rPr>
          <w:rFonts w:hint="eastAsia"/>
          <w:b/>
          <w:color w:val="000000" w:themeColor="text1"/>
          <w:szCs w:val="21"/>
          <w:highlight w:val="none"/>
        </w:rPr>
        <w:t>1.  审核中发现的</w:t>
      </w:r>
      <w:r>
        <w:rPr>
          <w:rFonts w:hint="eastAsia"/>
          <w:b/>
          <w:color w:val="000000" w:themeColor="text1"/>
          <w:szCs w:val="21"/>
          <w:highlight w:val="none"/>
          <w:lang w:eastAsia="zh-CN"/>
        </w:rPr>
        <w:t>■</w:t>
      </w:r>
      <w:r>
        <w:rPr>
          <w:rFonts w:hint="eastAsia"/>
          <w:b/>
          <w:color w:val="000000" w:themeColor="text1"/>
          <w:szCs w:val="21"/>
          <w:highlight w:val="none"/>
        </w:rPr>
        <w:t>QMS( 1 )个一般不符合，( 0 )个严重不符合，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EMS(</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OHSMS(</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749300</wp:posOffset>
            </wp:positionH>
            <wp:positionV relativeFrom="paragraph">
              <wp:posOffset>120015</wp:posOffset>
            </wp:positionV>
            <wp:extent cx="323850" cy="335280"/>
            <wp:effectExtent l="0" t="0" r="6350" b="762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r>
        <w:rPr>
          <w:rFonts w:hint="eastAsia"/>
          <w:b/>
          <w:color w:val="000000" w:themeColor="text1"/>
          <w:szCs w:val="21"/>
          <w:highlight w:val="none"/>
        </w:rPr>
        <w:t xml:space="preserve">        日期:</w:t>
      </w:r>
      <w:r>
        <w:rPr>
          <w:rFonts w:hint="eastAsia"/>
          <w:b/>
          <w:color w:val="000000" w:themeColor="text1"/>
          <w:highlight w:val="none"/>
        </w:rPr>
        <w:t xml:space="preserve"> </w:t>
      </w:r>
      <w:r>
        <w:rPr>
          <w:rFonts w:hint="eastAsia"/>
          <w:b/>
          <w:color w:val="000000" w:themeColor="text1"/>
          <w:highlight w:val="none"/>
          <w:lang w:val="en-US" w:eastAsia="zh-CN"/>
        </w:rPr>
        <w:t xml:space="preserve"> </w:t>
      </w:r>
      <w:r>
        <w:rPr>
          <w:rFonts w:hint="eastAsia"/>
          <w:b/>
          <w:color w:val="000000" w:themeColor="text1"/>
          <w:highlight w:val="none"/>
        </w:rPr>
        <w:t>202</w:t>
      </w:r>
      <w:r>
        <w:rPr>
          <w:rFonts w:hint="eastAsia"/>
          <w:b/>
          <w:color w:val="000000" w:themeColor="text1"/>
          <w:highlight w:val="none"/>
          <w:lang w:val="en-US" w:eastAsia="zh-CN"/>
        </w:rPr>
        <w:t>1</w:t>
      </w:r>
      <w:r>
        <w:rPr>
          <w:rFonts w:hint="eastAsia"/>
          <w:b/>
          <w:color w:val="000000" w:themeColor="text1"/>
          <w:highlight w:val="none"/>
        </w:rPr>
        <w:t xml:space="preserve"> </w:t>
      </w:r>
      <w:r>
        <w:rPr>
          <w:rFonts w:hint="eastAsia" w:asciiTheme="minorEastAsia" w:hAnsiTheme="minorEastAsia" w:eastAsiaTheme="minorEastAsia"/>
          <w:b/>
          <w:color w:val="000000" w:themeColor="text1"/>
          <w:highlight w:val="none"/>
        </w:rPr>
        <w:t>年</w:t>
      </w:r>
      <w:r>
        <w:rPr>
          <w:rFonts w:hint="eastAsia" w:asciiTheme="minorEastAsia" w:hAnsiTheme="minorEastAsia" w:eastAsiaTheme="minorEastAsia"/>
          <w:b/>
          <w:color w:val="000000" w:themeColor="text1"/>
          <w:highlight w:val="none"/>
          <w:lang w:val="en-US" w:eastAsia="zh-CN"/>
        </w:rPr>
        <w:t xml:space="preserve">  7 </w:t>
      </w:r>
      <w:r>
        <w:rPr>
          <w:rFonts w:hint="eastAsia" w:asciiTheme="minorEastAsia" w:hAnsiTheme="minorEastAsia" w:eastAsiaTheme="minorEastAsia"/>
          <w:b/>
          <w:color w:val="000000" w:themeColor="text1"/>
          <w:highlight w:val="none"/>
        </w:rPr>
        <w:t>月</w:t>
      </w:r>
      <w:r>
        <w:rPr>
          <w:rFonts w:hint="eastAsia" w:asciiTheme="minorEastAsia" w:hAnsiTheme="minorEastAsia" w:eastAsiaTheme="minorEastAsia"/>
          <w:b/>
          <w:color w:val="000000" w:themeColor="text1"/>
          <w:highlight w:val="none"/>
          <w:lang w:val="en-US" w:eastAsia="zh-CN"/>
        </w:rPr>
        <w:t xml:space="preserve">  22</w:t>
      </w:r>
      <w:bookmarkStart w:id="22" w:name="_GoBack"/>
      <w:bookmarkEnd w:id="22"/>
      <w:r>
        <w:rPr>
          <w:rFonts w:hint="eastAsia" w:asciiTheme="minorEastAsia" w:hAnsiTheme="minorEastAsia" w:eastAsiaTheme="minorEastAsia"/>
          <w:b/>
          <w:color w:val="000000" w:themeColor="text1"/>
          <w:highlight w:val="none"/>
          <w:lang w:val="en-US" w:eastAsia="zh-CN"/>
        </w:rPr>
        <w:t xml:space="preserve"> </w:t>
      </w:r>
      <w:r>
        <w:rPr>
          <w:rFonts w:hint="eastAsia" w:asciiTheme="minorEastAsia" w:hAnsiTheme="minorEastAsia" w:eastAsiaTheme="minorEastAsia"/>
          <w:b/>
          <w:color w:val="000000" w:themeColor="text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D30E11"/>
    <w:rsid w:val="2A5B23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12</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2021-07-22T01:56:48Z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999FE720758D44C6BFA7D36EBE00EB2F</vt:lpwstr>
  </property>
</Properties>
</file>