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牡丹江市井田石油钻采配件有限公司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0015-2018-2021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0015-2018-2021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牡丹江市井田石油钻采配件有限公司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王新国</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ISC-2018-0216</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2023-01-30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四</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2021年12月23日</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vAlign w:val="top"/>
          </w:tcPr>
          <w:p>
            <w:pPr>
              <w:tabs>
                <w:tab w:val="left" w:pos="880"/>
              </w:tabs>
              <w:autoSpaceDE w:val="0"/>
              <w:autoSpaceDN w:val="0"/>
              <w:adjustRightInd w:val="0"/>
              <w:spacing w:before="35" w:line="276" w:lineRule="auto"/>
              <w:ind w:right="161"/>
              <w:rPr>
                <w:rFonts w:hint="eastAsia" w:cs="宋体" w:asciiTheme="minorEastAsia" w:hAnsiTheme="minorEastAsia"/>
                <w:kern w:val="0"/>
                <w:szCs w:val="21"/>
                <w:lang w:eastAsia="zh-CN"/>
              </w:rPr>
            </w:pPr>
            <w:r>
              <w:rPr>
                <w:rFonts w:hint="eastAsia" w:cs="宋体" w:asciiTheme="minorEastAsia" w:hAnsiTheme="minorEastAsia"/>
                <w:kern w:val="0"/>
                <w:szCs w:val="21"/>
                <w:lang w:eastAsia="zh-CN"/>
              </w:rPr>
              <w:t>崔敬伟</w:t>
            </w:r>
            <w:r>
              <w:rPr>
                <w:rFonts w:hint="eastAsia" w:cs="宋体" w:asciiTheme="minorEastAsia" w:hAnsiTheme="minorEastAsia"/>
                <w:kern w:val="0"/>
                <w:szCs w:val="21"/>
              </w:rPr>
              <w:t>中认协评[2020]188 号</w:t>
            </w:r>
          </w:p>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bookmarkStart w:id="10" w:name="_GoBack"/>
            <w:bookmarkEnd w:id="10"/>
          </w:p>
        </w:tc>
        <w:tc>
          <w:tcPr>
            <w:tcW w:w="1984"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vAlign w:val="top"/>
          </w:tcPr>
          <w:p>
            <w:pPr>
              <w:spacing w:line="320" w:lineRule="exact"/>
              <w:jc w:val="center"/>
              <w:rPr>
                <w:rFonts w:cs="宋体" w:asciiTheme="minorEastAsia" w:hAnsiTheme="minorEastAsia"/>
                <w:kern w:val="0"/>
                <w:szCs w:val="21"/>
              </w:rPr>
            </w:pPr>
            <w:r>
              <w:rPr>
                <w:rFonts w:hint="eastAsia"/>
                <w:szCs w:val="21"/>
              </w:rPr>
              <w:t>生产技术部</w:t>
            </w:r>
            <w:r>
              <w:rPr>
                <w:rFonts w:hint="eastAsia"/>
                <w:szCs w:val="21"/>
                <w:lang w:eastAsia="zh-CN"/>
              </w:rPr>
              <w:t>、</w:t>
            </w:r>
            <w:r>
              <w:rPr>
                <w:rFonts w:hint="eastAsia" w:ascii="宋体" w:hAnsi="宋体"/>
                <w:szCs w:val="21"/>
              </w:rPr>
              <w:t>办公室</w:t>
            </w:r>
            <w:r>
              <w:rPr>
                <w:rFonts w:hint="eastAsia" w:ascii="宋体" w:hAnsi="宋体"/>
                <w:szCs w:val="21"/>
                <w:lang w:eastAsia="zh-CN"/>
              </w:rPr>
              <w:t>、供销部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276" w:lineRule="auto"/>
        <w:ind w:firstLine="420" w:firstLineChars="200"/>
        <w:rPr>
          <w:rFonts w:hint="eastAsia" w:cs="宋体" w:asciiTheme="minorEastAsia" w:hAnsiTheme="minorEastAsia"/>
          <w:bCs/>
          <w:kern w:val="0"/>
          <w:szCs w:val="21"/>
        </w:rPr>
      </w:pPr>
      <w:r>
        <w:rPr>
          <w:rFonts w:hint="eastAsia" w:cs="宋体" w:asciiTheme="minorEastAsia" w:hAnsiTheme="minorEastAsia"/>
          <w:bCs/>
          <w:kern w:val="0"/>
          <w:szCs w:val="21"/>
        </w:rPr>
        <w:t>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1</w:t>
      </w:r>
      <w:r>
        <w:rPr>
          <w:rFonts w:hint="eastAsia" w:cs="宋体" w:asciiTheme="minorEastAsia" w:hAnsiTheme="minorEastAsia"/>
          <w:bCs/>
          <w:kern w:val="0"/>
          <w:szCs w:val="21"/>
        </w:rPr>
        <w:t>月至今，公司日常运行中生产经营平稳，企业未有违反法律、法规问题和产品质量问题的投诉或重大质量事故发生。企业营业执照等资质未发生变化。公司一年来重点做了以下</w:t>
      </w:r>
      <w:r>
        <w:rPr>
          <w:rFonts w:hint="eastAsia" w:cs="宋体" w:asciiTheme="minorEastAsia" w:hAnsiTheme="minorEastAsia"/>
          <w:bCs/>
          <w:kern w:val="0"/>
          <w:szCs w:val="21"/>
          <w:lang w:eastAsia="zh-CN"/>
        </w:rPr>
        <w:t>两项</w:t>
      </w:r>
      <w:r>
        <w:rPr>
          <w:rFonts w:hint="eastAsia" w:cs="宋体" w:asciiTheme="minorEastAsia" w:hAnsiTheme="minorEastAsia"/>
          <w:bCs/>
          <w:kern w:val="0"/>
          <w:szCs w:val="21"/>
        </w:rPr>
        <w:t>工作：</w:t>
      </w:r>
    </w:p>
    <w:p>
      <w:pPr>
        <w:widowControl/>
        <w:spacing w:line="276" w:lineRule="auto"/>
        <w:ind w:firstLine="420" w:firstLineChars="200"/>
        <w:rPr>
          <w:rFonts w:hint="eastAsia" w:cs="宋体" w:asciiTheme="minorEastAsia" w:hAnsiTheme="minorEastAsia"/>
          <w:bCs/>
          <w:kern w:val="0"/>
          <w:szCs w:val="21"/>
          <w:lang w:eastAsia="zh-CN"/>
        </w:rPr>
      </w:pPr>
      <w:r>
        <w:rPr>
          <w:rFonts w:hint="eastAsia" w:cs="宋体" w:asciiTheme="minorEastAsia" w:hAnsiTheme="minorEastAsia"/>
          <w:bCs/>
          <w:kern w:val="0"/>
          <w:szCs w:val="21"/>
          <w:lang w:val="en-US" w:eastAsia="zh-CN"/>
        </w:rPr>
        <w:t>1.1进一步加强</w:t>
      </w:r>
      <w:r>
        <w:rPr>
          <w:rFonts w:hint="eastAsia" w:cs="宋体" w:asciiTheme="minorEastAsia" w:hAnsiTheme="minorEastAsia"/>
          <w:bCs/>
          <w:kern w:val="0"/>
          <w:szCs w:val="21"/>
        </w:rPr>
        <w:t>计量</w:t>
      </w:r>
      <w:r>
        <w:rPr>
          <w:rFonts w:hint="eastAsia" w:cs="宋体" w:asciiTheme="minorEastAsia" w:hAnsiTheme="minorEastAsia"/>
          <w:bCs/>
          <w:kern w:val="0"/>
          <w:szCs w:val="21"/>
          <w:lang w:eastAsia="zh-CN"/>
        </w:rPr>
        <w:t>和</w:t>
      </w:r>
      <w:r>
        <w:rPr>
          <w:rFonts w:hint="eastAsia" w:cs="宋体" w:asciiTheme="minorEastAsia" w:hAnsiTheme="minorEastAsia"/>
          <w:bCs/>
          <w:kern w:val="0"/>
          <w:szCs w:val="21"/>
        </w:rPr>
        <w:t>质量技术服务</w:t>
      </w:r>
      <w:r>
        <w:rPr>
          <w:rFonts w:hint="eastAsia" w:cs="宋体" w:asciiTheme="minorEastAsia" w:hAnsiTheme="minorEastAsia"/>
          <w:bCs/>
          <w:kern w:val="0"/>
          <w:szCs w:val="21"/>
          <w:lang w:eastAsia="zh-CN"/>
        </w:rPr>
        <w:t>的</w:t>
      </w:r>
      <w:r>
        <w:rPr>
          <w:rFonts w:hint="eastAsia" w:cs="宋体" w:asciiTheme="minorEastAsia" w:hAnsiTheme="minorEastAsia"/>
          <w:bCs/>
          <w:kern w:val="0"/>
          <w:szCs w:val="21"/>
        </w:rPr>
        <w:t>专业人才培训</w:t>
      </w:r>
      <w:r>
        <w:rPr>
          <w:rFonts w:hint="eastAsia" w:cs="宋体" w:asciiTheme="minorEastAsia" w:hAnsiTheme="minorEastAsia"/>
          <w:bCs/>
          <w:kern w:val="0"/>
          <w:szCs w:val="21"/>
          <w:lang w:eastAsia="zh-CN"/>
        </w:rPr>
        <w:t>，提高计量管理人员的业务能力，及计量器具的管理水平。</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1.2组织相关人员</w:t>
      </w:r>
      <w:r>
        <w:rPr>
          <w:rFonts w:hint="eastAsia" w:cs="宋体" w:asciiTheme="minorEastAsia" w:hAnsiTheme="minorEastAsia"/>
          <w:bCs/>
          <w:kern w:val="0"/>
          <w:szCs w:val="21"/>
          <w:lang w:eastAsia="zh-CN"/>
        </w:rPr>
        <w:t>学习</w:t>
      </w:r>
      <w:r>
        <w:rPr>
          <w:rFonts w:hint="eastAsia" w:cs="宋体" w:asciiTheme="minorEastAsia" w:hAnsiTheme="minorEastAsia"/>
          <w:bCs/>
          <w:kern w:val="0"/>
          <w:szCs w:val="21"/>
        </w:rPr>
        <w:t>计量检测与校准技术</w:t>
      </w:r>
      <w:r>
        <w:rPr>
          <w:rFonts w:hint="eastAsia" w:cs="宋体" w:asciiTheme="minorEastAsia" w:hAnsiTheme="minorEastAsia"/>
          <w:bCs/>
          <w:kern w:val="0"/>
          <w:szCs w:val="21"/>
          <w:lang w:eastAsia="zh-CN"/>
        </w:rPr>
        <w:t>的有关知识。加强生产过程中关键测量参数的测量过程控制。</w:t>
      </w:r>
    </w:p>
    <w:p>
      <w:pPr>
        <w:widowControl/>
        <w:spacing w:line="276" w:lineRule="auto"/>
        <w:rPr>
          <w:rFonts w:hint="eastAsia" w:cs="宋体" w:asciiTheme="minorEastAsia" w:hAnsiTheme="minorEastAsia"/>
          <w:bCs/>
          <w:kern w:val="0"/>
          <w:szCs w:val="21"/>
          <w:lang w:val="en-US" w:eastAsia="zh-CN"/>
        </w:rPr>
      </w:pPr>
    </w:p>
    <w:p>
      <w:pPr>
        <w:widowControl/>
        <w:spacing w:line="276" w:lineRule="auto"/>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2.内部审核和管理评审的情况：</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2.1内审情况：公司于2021年12月6日组织了公司测量管理体系内部审核，内审分2个组，对公司3个部门及车间进行了全要素的审核，共开出了1不符合项，于12月8日完成整改。</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2.2管理评审情况：企业于2021年12月15日开展了测量体系管理评审，会议由公司经理栾德民主持，由管理者代表王新国汇报了体系运行情况。会议肯定了公司测量管理体系的充分性、有效性和适宜性。形成了管理评审报告，对公司测量管理体系目前存在的2个方面的问题落实了整改部门。</w:t>
      </w:r>
    </w:p>
    <w:p>
      <w:pPr>
        <w:spacing w:line="276" w:lineRule="auto"/>
        <w:rPr>
          <w:rStyle w:val="9"/>
          <w:rFonts w:ascii="宋体" w:eastAsia="宋体"/>
          <w:color w:val="0070C0"/>
          <w:sz w:val="21"/>
          <w:szCs w:val="21"/>
        </w:rPr>
      </w:pP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3.为持续改进而策划的活动的进展 ，包括：抽查测量设备溯源情况符合要求，企业对已识别的封隔器外径尺寸测量过程，进行的计量要求导出结果正确，按测量过程控制规范进行了有效性监视。并对不确定度评定方法进行了描述，记录、监视控制图齐全，完整；未见新增关键测量过程。</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为持续改进而策划的活动的进展企业对识别的关键测量过程进行了持续的控制，无新增关键测量过程：</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a)计量要求的导出和验证：查封隔器外径尺寸测量过程，计量要求导出方法正确，验证满足测量过程要求。祥见附件《计量要求导出及验证记录表》</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b)测量不确定评定：查封隔器外径尺寸测量过程，测量不确定度评定正确。祥见附件《测量不确定度评定》</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c)有效性确认：查封隔器外径尺寸测量过程，采用封隔器外径尺寸测量进行比对进行有效性确认，满足要求。祥见附件《测量过程有效性确认》</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d)测量过程的控制：查封隔器外径尺寸测量过程，编制了控制规范，对测量人员、测量设备、测量环境进行控制，满足要求。</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e)测量过程的监视：查封隔器外径尺寸测量</w:t>
      </w:r>
      <w:r>
        <w:rPr>
          <w:rFonts w:hint="eastAsia" w:cs="宋体" w:asciiTheme="minorEastAsia" w:hAnsiTheme="minorEastAsia"/>
          <w:bCs/>
          <w:kern w:val="0"/>
          <w:szCs w:val="21"/>
          <w:lang w:val="en-US" w:eastAsia="zh-CN"/>
        </w:rPr>
        <w:t>过程，采用统计技术进行控制和监视测量过程。祥见《测量过程监视记录》</w:t>
      </w:r>
    </w:p>
    <w:p>
      <w:pPr>
        <w:widowControl/>
        <w:spacing w:line="276" w:lineRule="auto"/>
        <w:ind w:firstLine="420" w:firstLineChars="200"/>
        <w:rPr>
          <w:rFonts w:hint="eastAsia" w:cs="宋体" w:asciiTheme="minorEastAsia" w:hAnsiTheme="minorEastAsia"/>
          <w:bCs/>
          <w:kern w:val="0"/>
          <w:szCs w:val="21"/>
          <w:lang w:val="en-US" w:eastAsia="zh-CN"/>
        </w:rPr>
      </w:pPr>
      <w:r>
        <w:rPr>
          <w:rFonts w:hint="eastAsia" w:cs="宋体" w:asciiTheme="minorEastAsia" w:hAnsiTheme="minorEastAsia"/>
          <w:bCs/>
          <w:kern w:val="0"/>
          <w:szCs w:val="21"/>
          <w:lang w:val="en-US" w:eastAsia="zh-CN"/>
        </w:rPr>
        <w:t>f)测量设备的溯源：公司无建立项最高标准，企业测量设备送大庆油田计量检定测试所、宝鸡市宝石石油量规检测中心和牡丹江市质量技术监督检验检测中心</w:t>
      </w:r>
      <w:r>
        <w:rPr>
          <w:rFonts w:hint="eastAsia" w:cs="宋体" w:asciiTheme="minorEastAsia" w:hAnsiTheme="minorEastAsia"/>
          <w:bCs/>
          <w:kern w:val="0"/>
          <w:szCs w:val="21"/>
          <w:lang w:val="en-US" w:eastAsia="zh-CN"/>
        </w:rPr>
        <w:t>检定/校准。抽查6台测量设</w:t>
      </w:r>
      <w:r>
        <w:rPr>
          <w:rFonts w:hint="eastAsia" w:cs="宋体" w:asciiTheme="minorEastAsia" w:hAnsiTheme="minorEastAsia"/>
          <w:bCs/>
          <w:kern w:val="0"/>
          <w:szCs w:val="21"/>
          <w:lang w:val="en-US" w:eastAsia="zh-CN"/>
        </w:rPr>
        <w:t>备检定/校准证书，溯源满足要求。祥见《测量设备溯源检查表》</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4.能源管理情况：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企业</w:t>
      </w:r>
      <w:r>
        <w:rPr>
          <w:rFonts w:hint="eastAsia" w:ascii="宋体" w:hAnsi="宋体"/>
          <w:szCs w:val="21"/>
          <w:lang w:eastAsia="zh-CN"/>
        </w:rPr>
        <w:t>一</w:t>
      </w:r>
      <w:r>
        <w:rPr>
          <w:rFonts w:hint="eastAsia" w:ascii="宋体" w:hAnsi="宋体"/>
          <w:szCs w:val="21"/>
        </w:rPr>
        <w:t>年</w:t>
      </w:r>
      <w:r>
        <w:rPr>
          <w:rFonts w:hint="eastAsia" w:ascii="宋体" w:hAnsi="宋体"/>
          <w:szCs w:val="21"/>
          <w:lang w:eastAsia="zh-CN"/>
        </w:rPr>
        <w:t>来</w:t>
      </w:r>
      <w:r>
        <w:rPr>
          <w:rFonts w:hint="eastAsia" w:ascii="宋体" w:hAnsi="宋体"/>
          <w:szCs w:val="21"/>
        </w:rPr>
        <w:t>耗能</w:t>
      </w:r>
      <w:r>
        <w:rPr>
          <w:rFonts w:hint="eastAsia" w:ascii="宋体" w:hAnsi="宋体"/>
          <w:szCs w:val="21"/>
          <w:lang w:val="en-US" w:eastAsia="zh-CN"/>
        </w:rPr>
        <w:t>2.45</w:t>
      </w:r>
      <w:r>
        <w:rPr>
          <w:rFonts w:hint="eastAsia" w:ascii="宋体" w:hAnsi="宋体"/>
          <w:szCs w:val="21"/>
          <w:lang w:eastAsia="zh-CN"/>
        </w:rPr>
        <w:t>吨</w:t>
      </w:r>
      <w:r>
        <w:rPr>
          <w:rFonts w:hint="eastAsia" w:ascii="宋体" w:hAnsi="宋体"/>
          <w:szCs w:val="21"/>
        </w:rPr>
        <w:t>标准煤。</w:t>
      </w:r>
      <w:r>
        <w:rPr>
          <w:rFonts w:hint="eastAsia" w:ascii="宋体" w:hAnsi="宋体"/>
          <w:szCs w:val="21"/>
          <w:lang w:eastAsia="zh-CN"/>
        </w:rPr>
        <w:t>不是</w:t>
      </w:r>
      <w:r>
        <w:rPr>
          <w:rFonts w:hint="eastAsia" w:ascii="宋体" w:hAnsi="宋体"/>
          <w:szCs w:val="21"/>
        </w:rPr>
        <w:t>重点耗能单位，</w:t>
      </w:r>
      <w:r>
        <w:rPr>
          <w:rFonts w:hint="eastAsia" w:ascii="宋体" w:hAnsi="宋体"/>
          <w:szCs w:val="21"/>
          <w:lang w:val="en-US" w:eastAsia="zh-CN"/>
        </w:rPr>
        <w:t>企业</w:t>
      </w:r>
      <w:r>
        <w:rPr>
          <w:rFonts w:hint="eastAsia" w:ascii="宋体" w:hAnsi="宋体"/>
          <w:szCs w:val="21"/>
        </w:rPr>
        <w:t>的能源计量器具准确度等级：</w:t>
      </w:r>
      <w:r>
        <w:rPr>
          <w:rFonts w:hint="eastAsia" w:ascii="宋体" w:hAnsi="宋体"/>
          <w:szCs w:val="21"/>
          <w:lang w:val="en-US" w:eastAsia="zh-CN"/>
        </w:rPr>
        <w:t>2.0</w:t>
      </w:r>
      <w:r>
        <w:rPr>
          <w:rFonts w:hint="eastAsia" w:ascii="宋体" w:hAnsi="宋体"/>
          <w:szCs w:val="21"/>
        </w:rPr>
        <w:t>级的三相</w:t>
      </w:r>
      <w:r>
        <w:rPr>
          <w:rFonts w:hint="eastAsia" w:ascii="宋体" w:hAnsi="宋体"/>
          <w:szCs w:val="21"/>
          <w:lang w:val="en-US" w:eastAsia="zh-CN"/>
        </w:rPr>
        <w:t>三</w:t>
      </w:r>
      <w:r>
        <w:rPr>
          <w:rFonts w:hint="eastAsia" w:ascii="宋体" w:hAnsi="宋体"/>
          <w:szCs w:val="21"/>
        </w:rPr>
        <w:t>线</w:t>
      </w:r>
      <w:r>
        <w:rPr>
          <w:rFonts w:hint="eastAsia" w:ascii="宋体" w:hAnsi="宋体"/>
          <w:szCs w:val="21"/>
          <w:lang w:val="en-US" w:eastAsia="zh-CN"/>
        </w:rPr>
        <w:t>电子式</w:t>
      </w:r>
      <w:r>
        <w:rPr>
          <w:rFonts w:hint="eastAsia" w:ascii="宋体" w:hAnsi="宋体"/>
          <w:szCs w:val="21"/>
        </w:rPr>
        <w:t>电能表</w:t>
      </w:r>
      <w:r>
        <w:rPr>
          <w:rFonts w:hint="eastAsia" w:ascii="宋体" w:hAnsi="宋体"/>
          <w:szCs w:val="21"/>
          <w:lang w:val="en-US" w:eastAsia="zh-CN"/>
        </w:rPr>
        <w:t>1块</w:t>
      </w:r>
      <w:r>
        <w:rPr>
          <w:rFonts w:hint="eastAsia" w:ascii="宋体" w:hAnsi="宋体"/>
          <w:szCs w:val="21"/>
        </w:rPr>
        <w:t>和</w:t>
      </w:r>
      <w:r>
        <w:rPr>
          <w:rFonts w:hint="eastAsia" w:ascii="宋体" w:hAnsi="宋体"/>
          <w:szCs w:val="21"/>
          <w:lang w:val="en-US" w:eastAsia="zh-CN"/>
        </w:rPr>
        <w:t>2.5</w:t>
      </w:r>
      <w:r>
        <w:rPr>
          <w:rFonts w:hint="eastAsia" w:ascii="宋体" w:hAnsi="宋体"/>
          <w:szCs w:val="21"/>
        </w:rPr>
        <w:t>级的水表，满足GB17167标准4.3.8表4的要求企业能源计量器具共有</w:t>
      </w:r>
      <w:r>
        <w:rPr>
          <w:rFonts w:hint="eastAsia" w:ascii="宋体" w:hAnsi="宋体"/>
          <w:szCs w:val="21"/>
          <w:lang w:val="en-US" w:eastAsia="zh-CN"/>
        </w:rPr>
        <w:t>1</w:t>
      </w:r>
      <w:r>
        <w:rPr>
          <w:rFonts w:hint="eastAsia" w:ascii="宋体" w:hAnsi="宋体"/>
          <w:szCs w:val="21"/>
        </w:rPr>
        <w:t>台，已编入了测量设备管理目录，能源计量器具配备率符合GB17167－2006的要求。能源数据每月抄表，能源报表数据可追溯到现场测试记录，满足要求。</w:t>
      </w:r>
    </w:p>
    <w:p>
      <w:pPr>
        <w:snapToGrid w:val="0"/>
        <w:spacing w:line="400" w:lineRule="exact"/>
        <w:ind w:right="-512" w:rightChars="-244" w:firstLine="420" w:firstLineChars="200"/>
        <w:rPr>
          <w:rFonts w:hint="eastAsia" w:ascii="宋体" w:hAnsi="宋体"/>
          <w:szCs w:val="21"/>
        </w:rPr>
      </w:pPr>
    </w:p>
    <w:p>
      <w:pPr>
        <w:snapToGrid w:val="0"/>
        <w:spacing w:line="400" w:lineRule="exact"/>
        <w:ind w:right="-512" w:rightChars="-244" w:firstLine="420" w:firstLineChars="200"/>
        <w:rPr>
          <w:rFonts w:hint="eastAsia" w:ascii="宋体" w:hAnsi="宋体"/>
          <w:szCs w:val="21"/>
        </w:rPr>
      </w:pPr>
      <w:r>
        <w:rPr>
          <w:rFonts w:hint="eastAsia" w:ascii="宋体" w:hAnsi="宋体"/>
          <w:szCs w:val="21"/>
        </w:rPr>
        <w:t>5.对认证审核时提出的的不符合项的纠正措施情况有表述： </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查202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1月</w:t>
      </w:r>
      <w:r>
        <w:rPr>
          <w:rFonts w:hint="eastAsia" w:ascii="宋体" w:hAnsi="宋体"/>
          <w:szCs w:val="21"/>
        </w:rPr>
        <w:t>外审开出了一项不符合项报告：</w:t>
      </w:r>
      <w:r>
        <w:rPr>
          <w:rFonts w:hint="eastAsia" w:ascii="宋体" w:hAnsi="宋体"/>
          <w:szCs w:val="21"/>
          <w:lang w:eastAsia="zh-CN"/>
        </w:rPr>
        <w:t>查在</w:t>
      </w:r>
      <w:r>
        <w:rPr>
          <w:rFonts w:hint="eastAsia" w:ascii="宋体" w:hAnsi="宋体"/>
          <w:szCs w:val="21"/>
        </w:rPr>
        <w:t>测量设备台账</w:t>
      </w:r>
      <w:r>
        <w:rPr>
          <w:rFonts w:hint="eastAsia" w:ascii="宋体" w:hAnsi="宋体"/>
          <w:szCs w:val="21"/>
          <w:lang w:eastAsia="zh-CN"/>
        </w:rPr>
        <w:t>中，对出厂编号</w:t>
      </w:r>
      <w:r>
        <w:rPr>
          <w:rFonts w:hint="eastAsia" w:ascii="宋体" w:hAnsi="宋体"/>
          <w:szCs w:val="21"/>
          <w:lang w:val="en-US" w:eastAsia="zh-CN"/>
        </w:rPr>
        <w:t>3760、型号为（0-200）的游标卡尺没有纳入测量设备台账中管理。企业对不符合采取了纠正措施，对游标卡尺纳入测量设备台账中，并举一反三对公司相关内容进行检查，发现问题一并改正，避免相同问题重复发生。经审核组本次现场审核，通</w:t>
      </w:r>
      <w:r>
        <w:rPr>
          <w:rFonts w:hint="eastAsia" w:ascii="宋体" w:hAnsi="宋体"/>
          <w:szCs w:val="21"/>
        </w:rPr>
        <w:t>过对纠正措施工作的实施、完成情况跟踪及有效性进行现场查验，确认公司</w:t>
      </w:r>
      <w:r>
        <w:rPr>
          <w:rFonts w:hint="eastAsia" w:ascii="宋体" w:hAnsi="宋体"/>
          <w:szCs w:val="21"/>
          <w:lang w:val="en-US" w:eastAsia="zh-CN"/>
        </w:rPr>
        <w:t>上次</w:t>
      </w:r>
      <w:r>
        <w:rPr>
          <w:rFonts w:hint="eastAsia" w:ascii="宋体" w:hAnsi="宋体"/>
          <w:szCs w:val="21"/>
        </w:rPr>
        <w:t>审核中确定的</w:t>
      </w:r>
      <w:r>
        <w:rPr>
          <w:rFonts w:hint="eastAsia" w:ascii="宋体" w:hAnsi="宋体"/>
          <w:szCs w:val="21"/>
          <w:lang w:val="en-US" w:eastAsia="zh-CN"/>
        </w:rPr>
        <w:t>1</w:t>
      </w:r>
      <w:r>
        <w:rPr>
          <w:rFonts w:hint="eastAsia" w:ascii="宋体" w:hAnsi="宋体"/>
          <w:szCs w:val="21"/>
        </w:rPr>
        <w:t>个不符合项所采取的纠正措施正确，完成情况良好并持续有效</w:t>
      </w:r>
      <w:r>
        <w:rPr>
          <w:rFonts w:hint="eastAsia" w:ascii="宋体" w:hAnsi="宋体"/>
          <w:szCs w:val="21"/>
          <w:lang w:val="en-US" w:eastAsia="zh-CN"/>
        </w:rPr>
        <w:t>。</w:t>
      </w:r>
      <w:r>
        <w:rPr>
          <w:rFonts w:hint="eastAsia" w:ascii="宋体" w:hAnsi="宋体"/>
          <w:szCs w:val="21"/>
        </w:rPr>
        <w:t>验证该不符合项纠正措施有效，同意关闭。</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6.</w:t>
      </w:r>
      <w:r>
        <w:rPr>
          <w:rFonts w:hint="eastAsia" w:ascii="宋体" w:hAnsi="宋体"/>
          <w:szCs w:val="21"/>
        </w:rPr>
        <w:t>对投诉的处理情况：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企业202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1月</w:t>
      </w:r>
      <w:r>
        <w:rPr>
          <w:rFonts w:hint="eastAsia" w:ascii="宋体" w:hAnsi="宋体"/>
          <w:szCs w:val="21"/>
          <w:lang w:eastAsia="zh-CN"/>
        </w:rPr>
        <w:t>以来没</w:t>
      </w:r>
      <w:r>
        <w:rPr>
          <w:rFonts w:hint="eastAsia" w:ascii="宋体" w:hAnsi="宋体"/>
          <w:szCs w:val="21"/>
        </w:rPr>
        <w:t>有顾客的投诉。企业未有违反法律、法规问题和产品质量问题的投诉或重大质量事故发生。</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7.</w:t>
      </w:r>
      <w:r>
        <w:rPr>
          <w:rFonts w:hint="eastAsia" w:ascii="宋体" w:hAnsi="宋体"/>
          <w:szCs w:val="21"/>
        </w:rPr>
        <w:t>测量管理体系在实现获证客户目标方面的有效性及持续的运作控制情况：</w:t>
      </w:r>
    </w:p>
    <w:p>
      <w:pPr>
        <w:snapToGrid w:val="0"/>
        <w:spacing w:line="400" w:lineRule="exact"/>
        <w:ind w:right="-512" w:rightChars="-244" w:firstLine="420" w:firstLineChars="200"/>
        <w:rPr>
          <w:rFonts w:hint="eastAsia" w:ascii="宋体" w:hAnsi="宋体"/>
          <w:szCs w:val="21"/>
        </w:rPr>
      </w:pPr>
      <w:r>
        <w:rPr>
          <w:rFonts w:hint="eastAsia" w:ascii="宋体" w:hAnsi="宋体"/>
          <w:szCs w:val="21"/>
        </w:rPr>
        <w:t>公司制定了</w:t>
      </w:r>
      <w:r>
        <w:rPr>
          <w:rFonts w:hint="eastAsia" w:ascii="宋体" w:hAnsi="宋体"/>
          <w:szCs w:val="21"/>
          <w:lang w:val="en-US" w:eastAsia="zh-CN"/>
        </w:rPr>
        <w:t>5</w:t>
      </w:r>
      <w:r>
        <w:rPr>
          <w:rFonts w:hint="eastAsia" w:ascii="宋体" w:hAnsi="宋体"/>
          <w:szCs w:val="21"/>
        </w:rPr>
        <w:t>项质量目标，</w:t>
      </w:r>
      <w:r>
        <w:rPr>
          <w:rFonts w:hint="eastAsia" w:ascii="宋体" w:hAnsi="宋体"/>
          <w:szCs w:val="21"/>
          <w:lang w:eastAsia="zh-CN"/>
        </w:rPr>
        <w:t>企业规模小，各部门</w:t>
      </w:r>
      <w:r>
        <w:rPr>
          <w:rFonts w:hint="eastAsia" w:ascii="宋体" w:hAnsi="宋体"/>
          <w:szCs w:val="21"/>
        </w:rPr>
        <w:t>目标</w:t>
      </w:r>
      <w:r>
        <w:rPr>
          <w:rFonts w:hint="eastAsia" w:ascii="宋体" w:hAnsi="宋体"/>
          <w:szCs w:val="21"/>
          <w:lang w:eastAsia="zh-CN"/>
        </w:rPr>
        <w:t>未</w:t>
      </w:r>
      <w:r>
        <w:rPr>
          <w:rFonts w:hint="eastAsia" w:ascii="宋体" w:hAnsi="宋体"/>
          <w:szCs w:val="21"/>
        </w:rPr>
        <w:t>进行分解，查20</w:t>
      </w:r>
      <w:r>
        <w:rPr>
          <w:rFonts w:hint="eastAsia" w:ascii="宋体" w:hAnsi="宋体"/>
          <w:szCs w:val="21"/>
          <w:lang w:val="en-US" w:eastAsia="zh-CN"/>
        </w:rPr>
        <w:t>21</w:t>
      </w:r>
      <w:r>
        <w:rPr>
          <w:rFonts w:hint="eastAsia" w:ascii="宋体" w:hAnsi="宋体"/>
          <w:szCs w:val="21"/>
        </w:rPr>
        <w:t>年1</w:t>
      </w:r>
      <w:r>
        <w:rPr>
          <w:rFonts w:hint="eastAsia" w:ascii="宋体" w:hAnsi="宋体"/>
          <w:szCs w:val="21"/>
          <w:lang w:val="en-US" w:eastAsia="zh-CN"/>
        </w:rPr>
        <w:t>-11</w:t>
      </w:r>
      <w:r>
        <w:rPr>
          <w:rFonts w:hint="eastAsia" w:ascii="宋体" w:hAnsi="宋体"/>
          <w:szCs w:val="21"/>
        </w:rPr>
        <w:t>月质量目标完成情况检查表，按目标、措施、完成情况、未完成情况进行统计，记录内容全，质量目标管理满足要求。</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8.</w:t>
      </w:r>
      <w:r>
        <w:rPr>
          <w:rFonts w:hint="eastAsia" w:ascii="宋体" w:hAnsi="宋体"/>
          <w:szCs w:val="21"/>
        </w:rPr>
        <w:t>对企业组织任何变更的审核</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企业的组织机构及资质的无变更。</w:t>
      </w:r>
    </w:p>
    <w:p>
      <w:pPr>
        <w:snapToGrid w:val="0"/>
        <w:spacing w:line="400" w:lineRule="exact"/>
        <w:ind w:right="-512" w:rightChars="-244" w:firstLine="420" w:firstLineChars="200"/>
        <w:rPr>
          <w:rFonts w:hint="eastAsia" w:ascii="宋体" w:hAnsi="宋体"/>
          <w:szCs w:val="21"/>
        </w:rPr>
      </w:pPr>
      <w:r>
        <w:rPr>
          <w:rFonts w:hint="eastAsia" w:ascii="宋体" w:hAnsi="宋体"/>
          <w:szCs w:val="21"/>
          <w:lang w:val="en-US" w:eastAsia="zh-CN"/>
        </w:rPr>
        <w:t>9.</w:t>
      </w:r>
      <w:r>
        <w:rPr>
          <w:rFonts w:hint="eastAsia" w:ascii="宋体" w:hAnsi="宋体"/>
          <w:szCs w:val="21"/>
        </w:rPr>
        <w:t>标志的使用和（或）任何其他对认证资格引用的情况：</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rPr>
        <w:t xml:space="preserve"> 用</w:t>
      </w:r>
      <w:r>
        <w:rPr>
          <w:rFonts w:hint="eastAsia" w:ascii="宋体" w:hAnsi="宋体"/>
          <w:szCs w:val="21"/>
          <w:lang w:val="en-US" w:eastAsia="zh-CN"/>
        </w:rPr>
        <w:t>于企业的形象宣传。</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本次审核共出具一般不符合项 1项，未发现严重或系统性的不符合情况。</w:t>
      </w:r>
    </w:p>
    <w:p>
      <w:pPr>
        <w:widowControl/>
        <w:spacing w:line="360" w:lineRule="auto"/>
        <w:ind w:firstLine="420" w:firstLineChars="200"/>
        <w:jc w:val="left"/>
        <w:rPr>
          <w:rFonts w:hint="eastAsia" w:ascii="宋体" w:hAnsi="宋体" w:cs="宋体"/>
          <w:kern w:val="0"/>
          <w:szCs w:val="21"/>
          <w:lang w:val="en-US" w:eastAsia="zh-CN"/>
        </w:rPr>
      </w:pPr>
      <w:r>
        <w:rPr>
          <w:rFonts w:hint="eastAsia" w:ascii="宋体" w:hAnsi="宋体" w:cs="宋体"/>
          <w:kern w:val="0"/>
          <w:szCs w:val="21"/>
          <w:u w:val="none"/>
          <w:lang w:val="zh-CN" w:eastAsia="zh-CN"/>
        </w:rPr>
        <w:t>生产技术部在用</w:t>
      </w:r>
      <w:r>
        <w:rPr>
          <w:rFonts w:hint="eastAsia" w:ascii="宋体" w:hAnsi="宋体" w:eastAsia="宋体" w:cs="宋体"/>
          <w:kern w:val="0"/>
          <w:szCs w:val="21"/>
          <w:u w:val="none"/>
          <w:lang w:val="zh-CN" w:eastAsia="zh-CN"/>
        </w:rPr>
        <w:t>的编号</w:t>
      </w:r>
      <w:r>
        <w:rPr>
          <w:rFonts w:hint="eastAsia" w:ascii="宋体" w:hAnsi="宋体" w:cs="宋体"/>
          <w:kern w:val="0"/>
          <w:szCs w:val="21"/>
          <w:u w:val="none"/>
          <w:lang w:val="en-US" w:eastAsia="zh-CN"/>
        </w:rPr>
        <w:t>5587规格为0-150mm的游标卡尺</w:t>
      </w:r>
      <w:r>
        <w:rPr>
          <w:rFonts w:hint="eastAsia" w:ascii="宋体" w:hAnsi="宋体" w:cs="宋体"/>
          <w:kern w:val="0"/>
          <w:szCs w:val="21"/>
          <w:u w:val="none"/>
          <w:lang w:val="zh-CN" w:eastAsia="zh-CN"/>
        </w:rPr>
        <w:t>校准日期20</w:t>
      </w:r>
      <w:r>
        <w:rPr>
          <w:rFonts w:hint="eastAsia" w:ascii="宋体" w:hAnsi="宋体" w:cs="宋体"/>
          <w:kern w:val="0"/>
          <w:szCs w:val="21"/>
          <w:u w:val="none"/>
          <w:lang w:val="en-US" w:eastAsia="zh-CN"/>
        </w:rPr>
        <w:t>21</w:t>
      </w:r>
      <w:r>
        <w:rPr>
          <w:rFonts w:hint="eastAsia" w:ascii="宋体" w:hAnsi="宋体" w:cs="宋体"/>
          <w:kern w:val="0"/>
          <w:szCs w:val="21"/>
          <w:u w:val="none"/>
          <w:lang w:val="zh-CN" w:eastAsia="zh-CN"/>
        </w:rPr>
        <w:t>.</w:t>
      </w:r>
      <w:r>
        <w:rPr>
          <w:rFonts w:hint="eastAsia" w:ascii="宋体" w:hAnsi="宋体" w:cs="宋体"/>
          <w:kern w:val="0"/>
          <w:szCs w:val="21"/>
          <w:u w:val="none"/>
          <w:lang w:val="en-US" w:eastAsia="zh-CN"/>
        </w:rPr>
        <w:t>4</w:t>
      </w:r>
      <w:r>
        <w:rPr>
          <w:rFonts w:hint="eastAsia" w:ascii="宋体" w:hAnsi="宋体" w:cs="宋体"/>
          <w:kern w:val="0"/>
          <w:szCs w:val="21"/>
          <w:u w:val="none"/>
          <w:lang w:val="zh-CN" w:eastAsia="zh-CN"/>
        </w:rPr>
        <w:t>.</w:t>
      </w:r>
      <w:r>
        <w:rPr>
          <w:rFonts w:hint="eastAsia" w:ascii="宋体" w:hAnsi="宋体" w:cs="宋体"/>
          <w:kern w:val="0"/>
          <w:szCs w:val="21"/>
          <w:u w:val="none"/>
          <w:lang w:val="en-US" w:eastAsia="zh-CN"/>
        </w:rPr>
        <w:t>14。未</w:t>
      </w:r>
      <w:r>
        <w:rPr>
          <w:rFonts w:hint="eastAsia" w:ascii="宋体" w:hAnsi="宋体" w:cs="宋体"/>
          <w:kern w:val="0"/>
          <w:szCs w:val="21"/>
          <w:u w:val="none"/>
          <w:lang w:val="zh-CN" w:eastAsia="zh-CN"/>
        </w:rPr>
        <w:t>粘贴计量确认标识</w:t>
      </w:r>
      <w:r>
        <w:rPr>
          <w:rFonts w:hint="eastAsia" w:ascii="宋体" w:hAnsi="宋体" w:cs="宋体"/>
          <w:kern w:val="0"/>
          <w:szCs w:val="21"/>
          <w:u w:val="none"/>
          <w:lang w:val="en-US" w:eastAsia="zh-CN"/>
        </w:rPr>
        <w:t>。不符合GB/T19022-2003标准6.2.4条款“---应清楚地标识测量管理体系中所有的测量设备和技术程序，可以单独或集中地标识。应有设备计量确认状态的标识。”的规定要求。</w:t>
      </w: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针对上述1项次要不符合项，企业制定了整改措施并已落实，审核组验证有效。</w:t>
      </w:r>
    </w:p>
    <w:p>
      <w:pPr>
        <w:snapToGrid w:val="0"/>
        <w:spacing w:line="400" w:lineRule="exact"/>
        <w:ind w:right="-512" w:rightChars="-244" w:firstLine="420" w:firstLineChars="200"/>
        <w:rPr>
          <w:rFonts w:hint="eastAsia" w:ascii="宋体" w:hAnsi="宋体"/>
          <w:szCs w:val="21"/>
          <w:lang w:val="en-US" w:eastAsia="zh-CN"/>
        </w:rPr>
      </w:pPr>
    </w:p>
    <w:p>
      <w:pPr>
        <w:snapToGrid w:val="0"/>
        <w:spacing w:line="400" w:lineRule="exact"/>
        <w:ind w:right="-512" w:rightChars="-244" w:firstLine="420" w:firstLineChars="200"/>
        <w:rPr>
          <w:rFonts w:hint="eastAsia" w:ascii="宋体" w:hAnsi="宋体"/>
          <w:szCs w:val="21"/>
          <w:lang w:val="en-US" w:eastAsia="zh-CN"/>
        </w:rPr>
      </w:pPr>
      <w:r>
        <w:rPr>
          <w:rFonts w:hint="eastAsia" w:ascii="宋体" w:hAnsi="宋体"/>
          <w:szCs w:val="21"/>
          <w:lang w:val="en-US" w:eastAsia="zh-CN"/>
        </w:rPr>
        <w:t>三、监督审核结论意见(含需要说明的事项):</w:t>
      </w:r>
    </w:p>
    <w:p>
      <w:pPr>
        <w:snapToGrid w:val="0"/>
        <w:spacing w:line="400" w:lineRule="exact"/>
        <w:ind w:right="-512" w:rightChars="-244" w:firstLine="420" w:firstLineChars="200"/>
        <w:rPr>
          <w:rFonts w:ascii="宋体" w:hAnsi="宋体"/>
          <w:szCs w:val="21"/>
        </w:rPr>
      </w:pPr>
      <w:r>
        <w:rPr>
          <w:rFonts w:hint="eastAsia" w:ascii="宋体" w:hAnsi="宋体"/>
          <w:szCs w:val="21"/>
        </w:rPr>
        <w:t>通过20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23</w:t>
      </w:r>
      <w:r>
        <w:rPr>
          <w:rFonts w:hint="eastAsia" w:ascii="宋体" w:hAnsi="宋体"/>
          <w:szCs w:val="21"/>
        </w:rPr>
        <w:t>日，对</w:t>
      </w:r>
      <w:r>
        <w:rPr>
          <w:rFonts w:hint="eastAsia" w:ascii="宋体" w:hAnsi="宋体"/>
          <w:szCs w:val="21"/>
          <w:lang w:val="en-US" w:eastAsia="zh-CN"/>
        </w:rPr>
        <w:t>牡丹江市井田石油钻采配件有限公司</w:t>
      </w:r>
      <w:r>
        <w:rPr>
          <w:rFonts w:hint="eastAsia" w:ascii="宋体" w:hAnsi="宋体"/>
          <w:szCs w:val="21"/>
        </w:rPr>
        <w:t>监督审核</w:t>
      </w:r>
      <w:r>
        <w:rPr>
          <w:rFonts w:hint="eastAsia" w:ascii="宋体" w:hAnsi="宋体"/>
          <w:szCs w:val="21"/>
          <w:lang w:eastAsia="zh-CN"/>
        </w:rPr>
        <w:t>。</w:t>
      </w:r>
      <w:r>
        <w:rPr>
          <w:rFonts w:hint="eastAsia" w:ascii="宋体" w:hAnsi="宋体"/>
          <w:szCs w:val="21"/>
        </w:rPr>
        <w:t>验证了公司在一年内，测量管理体系运作情况，公司领导重视体系运行和管理，体系文件得到有效实施，企业管理规范，</w:t>
      </w:r>
      <w:r>
        <w:rPr>
          <w:rFonts w:hint="eastAsia" w:ascii="宋体" w:hAnsi="宋体"/>
          <w:szCs w:val="21"/>
          <w:lang w:eastAsia="zh-CN"/>
        </w:rPr>
        <w:t>未</w:t>
      </w:r>
      <w:r>
        <w:rPr>
          <w:rFonts w:hint="eastAsia" w:ascii="宋体" w:hAnsi="宋体"/>
          <w:szCs w:val="21"/>
        </w:rPr>
        <w:t>新增关键测量过程，过程受控、监视方法正确有效，重要测量人员能力受控，测量设备、测量环境、测量软件、测量记录及外部供方管理等各项工作。综上所述，审核组认为</w:t>
      </w:r>
      <w:r>
        <w:rPr>
          <w:rFonts w:hint="eastAsia" w:ascii="宋体" w:hAnsi="宋体"/>
          <w:szCs w:val="21"/>
          <w:lang w:val="en-US" w:eastAsia="zh-CN"/>
        </w:rPr>
        <w:t>牡丹江市井田石油钻采配件有限公司</w:t>
      </w:r>
      <w:r>
        <w:rPr>
          <w:rFonts w:hint="eastAsia" w:ascii="宋体" w:hAnsi="宋体"/>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drawing>
          <wp:anchor distT="0" distB="0" distL="114300" distR="114300" simplePos="0" relativeHeight="251662336" behindDoc="1" locked="0" layoutInCell="1" allowOverlap="1">
            <wp:simplePos x="0" y="0"/>
            <wp:positionH relativeFrom="column">
              <wp:posOffset>1520825</wp:posOffset>
            </wp:positionH>
            <wp:positionV relativeFrom="paragraph">
              <wp:posOffset>19685</wp:posOffset>
            </wp:positionV>
            <wp:extent cx="697230" cy="402590"/>
            <wp:effectExtent l="0" t="0" r="7620" b="16510"/>
            <wp:wrapNone/>
            <wp:docPr id="4" name="图片 4" descr="未标题-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未标题-2"/>
                    <pic:cNvPicPr>
                      <a:picLocks noChangeAspect="1"/>
                    </pic:cNvPicPr>
                  </pic:nvPicPr>
                  <pic:blipFill>
                    <a:blip r:embed="rId6"/>
                    <a:stretch>
                      <a:fillRect/>
                    </a:stretch>
                  </pic:blipFill>
                  <pic:spPr>
                    <a:xfrm>
                      <a:off x="0" y="0"/>
                      <a:ext cx="697230" cy="402590"/>
                    </a:xfrm>
                    <a:prstGeom prst="rect">
                      <a:avLst/>
                    </a:prstGeom>
                    <a:noFill/>
                    <a:ln>
                      <a:noFill/>
                    </a:ln>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2021.12.23</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2021.12.23</w:t>
      </w:r>
    </w:p>
    <w:p>
      <w:pPr>
        <w:widowControl/>
        <w:spacing w:line="360" w:lineRule="auto"/>
        <w:jc w:val="left"/>
        <w:rPr>
          <w:rFonts w:ascii="宋体" w:hAnsi="宋体" w:eastAsia="宋体" w:cs="宋体"/>
          <w:color w:val="000000"/>
          <w:kern w:val="0"/>
          <w:szCs w:val="21"/>
        </w:rPr>
      </w:pP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9"/>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E700D4"/>
    <w:rsid w:val="28726201"/>
    <w:rsid w:val="39732734"/>
    <w:rsid w:val="3B7E5603"/>
    <w:rsid w:val="3C312C55"/>
    <w:rsid w:val="5274364C"/>
    <w:rsid w:val="539A1C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1844</Characters>
  <Lines>15</Lines>
  <Paragraphs>4</Paragraphs>
  <TotalTime>1</TotalTime>
  <ScaleCrop>false</ScaleCrop>
  <LinksUpToDate>false</LinksUpToDate>
  <CharactersWithSpaces>2163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崔敬伟</cp:lastModifiedBy>
  <cp:lastPrinted>2017-09-01T06:24:00Z</cp:lastPrinted>
  <dcterms:modified xsi:type="dcterms:W3CDTF">2021-12-24T04:29:26Z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481055EC06E74F21AA932800B07E168C</vt:lpwstr>
  </property>
</Properties>
</file>