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湖北振旭企业管理有限公司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rFonts w:hint="eastAsia"/>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rFonts w:hint="default" w:eastAsia="宋体"/>
                <w:sz w:val="22"/>
                <w:szCs w:val="22"/>
                <w:lang w:val="en-US" w:eastAsia="zh-CN"/>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lang w:eastAsia="zh-CN"/>
              </w:rPr>
              <w:t>■</w:t>
            </w:r>
            <w:bookmarkEnd w:id="4"/>
            <w:r>
              <w:rPr>
                <w:rFonts w:hint="eastAsia"/>
                <w:sz w:val="22"/>
                <w:szCs w:val="22"/>
                <w:lang w:val="en-US" w:eastAsia="zh-CN"/>
              </w:rPr>
              <w:t xml:space="preserve">GB/T </w:t>
            </w:r>
            <w:r>
              <w:rPr>
                <w:rFonts w:hint="eastAsia"/>
                <w:sz w:val="22"/>
                <w:szCs w:val="22"/>
              </w:rPr>
              <w:t>45001：20</w:t>
            </w:r>
            <w:r>
              <w:rPr>
                <w:rFonts w:hint="eastAsia"/>
                <w:sz w:val="22"/>
                <w:szCs w:val="22"/>
                <w:lang w:val="en-US" w:eastAsia="zh-CN"/>
              </w:rPr>
              <w:t>20</w:t>
            </w:r>
          </w:p>
          <w:p>
            <w:pPr>
              <w:rPr>
                <w:rFonts w:hint="eastAsia"/>
                <w:sz w:val="22"/>
                <w:szCs w:val="22"/>
              </w:rPr>
            </w:pPr>
            <w:bookmarkStart w:id="5" w:name="EnMS勾选"/>
            <w:r>
              <w:rPr>
                <w:rFonts w:hint="eastAsia"/>
                <w:sz w:val="22"/>
                <w:szCs w:val="22"/>
              </w:rPr>
              <w:t>□</w:t>
            </w:r>
            <w:bookmarkEnd w:id="5"/>
            <w:r>
              <w:rPr>
                <w:rFonts w:hint="eastAsia"/>
                <w:lang w:val="en-US" w:eastAsia="zh-CN"/>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lang w:val="en-US" w:eastAsia="zh-CN"/>
              </w:rPr>
              <w:t>ISO</w:t>
            </w:r>
            <w:r>
              <w:rPr>
                <w:sz w:val="22"/>
                <w:szCs w:val="22"/>
              </w:rPr>
              <w:t xml:space="preserve"> 22000-20</w:t>
            </w:r>
            <w:r>
              <w:rPr>
                <w:rFonts w:hint="eastAsia"/>
                <w:sz w:val="22"/>
                <w:szCs w:val="22"/>
                <w:lang w:val="en-US" w:eastAsia="zh-CN"/>
              </w:rPr>
              <w:t>18</w:t>
            </w:r>
            <w:r>
              <w:rPr>
                <w:rFonts w:hint="eastAsia"/>
                <w:sz w:val="22"/>
                <w:szCs w:val="22"/>
              </w:rPr>
              <w:t>&amp;</w:t>
            </w:r>
            <w:r>
              <w:rPr>
                <w:sz w:val="22"/>
                <w:szCs w:val="22"/>
              </w:rPr>
              <w:t xml:space="preserve">专项技术要求：             </w:t>
            </w:r>
            <w:r>
              <w:rPr>
                <w:rFonts w:hint="eastAsia"/>
                <w:sz w:val="22"/>
                <w:szCs w:val="22"/>
              </w:rPr>
              <w:t xml:space="preserve">                        </w:t>
            </w:r>
          </w:p>
          <w:p>
            <w:pPr>
              <w:rPr>
                <w:rFonts w:hint="eastAsia"/>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rFonts w:hint="eastAsia"/>
                <w:sz w:val="22"/>
                <w:szCs w:val="22"/>
              </w:rPr>
            </w:pPr>
            <w:r>
              <w:rPr>
                <w:rFonts w:hint="eastAsia"/>
                <w:sz w:val="22"/>
                <w:szCs w:val="22"/>
              </w:rPr>
              <w:t xml:space="preserve">□受审核方管理体系文件 (手册版本号：)  </w:t>
            </w:r>
          </w:p>
          <w:p>
            <w:pPr>
              <w:ind w:left="70" w:leftChars="29"/>
              <w:rPr>
                <w:rFonts w:hint="eastAsia"/>
                <w:sz w:val="22"/>
                <w:szCs w:val="22"/>
              </w:rPr>
            </w:pP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0685-2021-QEO</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w:t>
            </w:r>
            <w:r>
              <w:rPr>
                <w:rFonts w:hint="eastAsia"/>
                <w:sz w:val="22"/>
                <w:szCs w:val="22"/>
                <w:lang w:val="en-US" w:eastAsia="zh-CN"/>
              </w:rPr>
              <w:t xml:space="preserve"> </w:t>
            </w:r>
            <w:r>
              <w:rPr>
                <w:rFonts w:hint="eastAsia"/>
                <w:sz w:val="22"/>
                <w:szCs w:val="22"/>
                <w:lang w:eastAsia="zh-CN"/>
              </w:rPr>
              <w:t>□</w:t>
            </w:r>
            <w:r>
              <w:rPr>
                <w:rFonts w:hint="eastAsia"/>
                <w:sz w:val="22"/>
                <w:szCs w:val="22"/>
              </w:rPr>
              <w:t>第</w:t>
            </w:r>
            <w:r>
              <w:rPr>
                <w:sz w:val="22"/>
                <w:szCs w:val="22"/>
              </w:rPr>
              <w:t>(  )</w:t>
            </w:r>
            <w:r>
              <w:rPr>
                <w:rFonts w:hint="eastAsia"/>
                <w:sz w:val="22"/>
                <w:szCs w:val="22"/>
              </w:rPr>
              <w:t>阶段审核</w:t>
            </w:r>
            <w:bookmarkStart w:id="10" w:name="再认证勾选"/>
            <w:r>
              <w:rPr>
                <w:rFonts w:hint="eastAsia"/>
                <w:sz w:val="22"/>
                <w:szCs w:val="22"/>
              </w:rPr>
              <w:t>□</w:t>
            </w:r>
            <w:bookmarkEnd w:id="10"/>
            <w:r>
              <w:rPr>
                <w:rFonts w:hint="eastAsia"/>
                <w:sz w:val="22"/>
                <w:szCs w:val="22"/>
              </w:rPr>
              <w:t>再认证□证书转换</w:t>
            </w:r>
            <w:bookmarkStart w:id="11" w:name="特殊审核勾选"/>
            <w:r>
              <w:rPr>
                <w:rFonts w:hint="eastAsia"/>
                <w:sz w:val="22"/>
                <w:szCs w:val="22"/>
              </w:rPr>
              <w:t>□</w:t>
            </w:r>
            <w:bookmarkEnd w:id="11"/>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李京田</w:t>
            </w:r>
          </w:p>
        </w:tc>
        <w:tc>
          <w:tcPr>
            <w:tcW w:w="1184" w:type="dxa"/>
            <w:vAlign w:val="center"/>
          </w:tcPr>
          <w:p>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2021-N1QMS-4014142</w:t>
            </w:r>
          </w:p>
          <w:p>
            <w:pPr>
              <w:snapToGrid w:val="0"/>
              <w:spacing w:line="320" w:lineRule="exact"/>
              <w:ind w:left="1309"/>
              <w:rPr>
                <w:sz w:val="22"/>
                <w:szCs w:val="22"/>
                <w:highlight w:val="yellow"/>
              </w:rPr>
            </w:pPr>
            <w:r>
              <w:rPr>
                <w:sz w:val="22"/>
                <w:szCs w:val="22"/>
                <w:highlight w:val="yellow"/>
              </w:rPr>
              <w:t>2020-N1EMS-3014142</w:t>
            </w:r>
          </w:p>
          <w:p>
            <w:pPr>
              <w:snapToGrid w:val="0"/>
              <w:spacing w:line="320" w:lineRule="exact"/>
              <w:ind w:left="1309"/>
              <w:rPr>
                <w:sz w:val="22"/>
                <w:szCs w:val="22"/>
                <w:highlight w:val="yellow"/>
              </w:rPr>
            </w:pPr>
            <w:r>
              <w:rPr>
                <w:sz w:val="22"/>
                <w:szCs w:val="22"/>
                <w:highlight w:val="yellow"/>
              </w:rPr>
              <w:t>2020-N1OHSMS-3014142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李雅静</w:t>
            </w:r>
          </w:p>
        </w:tc>
        <w:tc>
          <w:tcPr>
            <w:tcW w:w="1184" w:type="dxa"/>
            <w:vAlign w:val="center"/>
          </w:tcPr>
          <w:p>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2019-N1QMS-1218164</w:t>
            </w:r>
          </w:p>
          <w:p>
            <w:pPr>
              <w:snapToGrid w:val="0"/>
              <w:spacing w:line="320" w:lineRule="exact"/>
              <w:ind w:left="1309"/>
              <w:rPr>
                <w:sz w:val="22"/>
                <w:szCs w:val="22"/>
                <w:highlight w:val="yellow"/>
              </w:rPr>
            </w:pPr>
            <w:r>
              <w:rPr>
                <w:sz w:val="22"/>
                <w:szCs w:val="22"/>
                <w:highlight w:val="yellow"/>
              </w:rPr>
              <w:t>2020-N1EMS-1218164</w:t>
            </w:r>
          </w:p>
          <w:p>
            <w:pPr>
              <w:snapToGrid w:val="0"/>
              <w:spacing w:line="320" w:lineRule="exact"/>
              <w:ind w:left="1309"/>
              <w:rPr>
                <w:sz w:val="22"/>
                <w:szCs w:val="22"/>
                <w:highlight w:val="yellow"/>
              </w:rPr>
            </w:pPr>
            <w:r>
              <w:rPr>
                <w:sz w:val="22"/>
                <w:szCs w:val="22"/>
                <w:highlight w:val="yellow"/>
              </w:rPr>
              <w:t>2019-N1OHSMS-1218164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陈俊</w:t>
            </w:r>
          </w:p>
        </w:tc>
        <w:tc>
          <w:tcPr>
            <w:tcW w:w="1184" w:type="dxa"/>
            <w:vAlign w:val="center"/>
          </w:tcPr>
          <w:p>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ISC-JSZJ-177</w:t>
            </w:r>
          </w:p>
          <w:p>
            <w:pPr>
              <w:snapToGrid w:val="0"/>
              <w:spacing w:line="320" w:lineRule="exact"/>
              <w:ind w:left="1309"/>
              <w:rPr>
                <w:sz w:val="22"/>
                <w:szCs w:val="22"/>
                <w:highlight w:val="yellow"/>
              </w:rPr>
            </w:pPr>
            <w:r>
              <w:rPr>
                <w:sz w:val="22"/>
                <w:szCs w:val="22"/>
                <w:highlight w:val="yellow"/>
              </w:rPr>
              <w:t>ISC-JSZJ-177</w:t>
            </w:r>
          </w:p>
          <w:p>
            <w:pPr>
              <w:snapToGrid w:val="0"/>
              <w:spacing w:line="320" w:lineRule="exact"/>
              <w:ind w:left="1309"/>
              <w:rPr>
                <w:sz w:val="22"/>
                <w:szCs w:val="22"/>
                <w:highlight w:val="yellow"/>
              </w:rPr>
            </w:pPr>
            <w:r>
              <w:rPr>
                <w:sz w:val="22"/>
                <w:szCs w:val="22"/>
                <w:highlight w:val="yellow"/>
              </w:rPr>
              <w:t>ISC-JSZJ-177</w:t>
            </w:r>
          </w:p>
          <w:p>
            <w:pPr>
              <w:snapToGrid w:val="0"/>
              <w:spacing w:line="320" w:lineRule="exact"/>
              <w:ind w:left="1309"/>
              <w:rPr>
                <w:sz w:val="22"/>
                <w:szCs w:val="22"/>
                <w:highlight w:val="yellow"/>
              </w:rPr>
            </w:pPr>
            <w:r>
              <w:rPr>
                <w:sz w:val="22"/>
                <w:szCs w:val="22"/>
                <w:highlight w:val="yellow"/>
              </w:rPr>
              <w:t>十堰龙智汇工贸有限公司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陈彦文</w:t>
            </w:r>
          </w:p>
        </w:tc>
        <w:tc>
          <w:tcPr>
            <w:tcW w:w="1184" w:type="dxa"/>
            <w:vAlign w:val="center"/>
          </w:tcPr>
          <w:p>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十堰市万达影城</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张亮</w:t>
            </w:r>
          </w:p>
        </w:tc>
        <w:tc>
          <w:tcPr>
            <w:tcW w:w="1184" w:type="dxa"/>
            <w:vAlign w:val="center"/>
          </w:tcPr>
          <w:p>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2021-N0EMS-1280463</w:t>
            </w:r>
          </w:p>
          <w:p>
            <w:pPr>
              <w:snapToGrid w:val="0"/>
              <w:spacing w:line="320" w:lineRule="exact"/>
              <w:ind w:left="1309"/>
              <w:rPr>
                <w:sz w:val="22"/>
                <w:szCs w:val="22"/>
                <w:highlight w:val="yellow"/>
              </w:rPr>
            </w:pPr>
            <w:r>
              <w:rPr>
                <w:sz w:val="22"/>
                <w:szCs w:val="22"/>
                <w:highlight w:val="yellow"/>
              </w:rPr>
              <w:t>2021-N0OHSMS-1280463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2021.9.13</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2021.9.13</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2021.9.13</w:t>
            </w:r>
            <w:bookmarkStart w:id="12" w:name="_GoBack"/>
            <w:bookmarkEnd w:id="12"/>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5" w:type="default"/>
      <w:footerReference r:id="rId6" w:type="default"/>
      <w:pgSz w:w="11906" w:h="16838"/>
      <w:pgMar w:top="814" w:right="907" w:bottom="651" w:left="907" w:header="601" w:footer="601"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418.3pt;margin-top:11.45pt;height:21.75pt;width:85.6pt;z-index:251659264;mso-width-relative:page;mso-height-relative:page;" fillcolor="#FFFFFF" filled="t" stroked="f" coordsize="21600,21600">
          <v:path/>
          <v:fill on="t" color2="#FFFFFF"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w:t>
                </w:r>
                <w:r>
                  <w:rPr>
                    <w:rFonts w:hint="eastAsia"/>
                    <w:sz w:val="18"/>
                    <w:szCs w:val="18"/>
                    <w:lang w:eastAsia="zh-CN"/>
                  </w:rPr>
                  <w:t>05版</w:t>
                </w:r>
                <w:r>
                  <w:rPr>
                    <w:rFonts w:hint="eastAsia"/>
                    <w:sz w:val="18"/>
                    <w:szCs w:val="18"/>
                  </w:rPr>
                  <w:t>)</w:t>
                </w:r>
              </w:p>
            </w:txbxContent>
          </v:textbox>
        </v:shape>
      </w:pict>
    </w:r>
    <w:r>
      <w:rPr>
        <w:szCs w:val="18"/>
      </w:rP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single" w:color="auto" w:sz="4" w:space="1"/>
      </w:pBdr>
      <w:spacing w:line="320" w:lineRule="exact"/>
      <w:ind w:firstLine="714" w:firstLineChars="441"/>
      <w:jc w:val="left"/>
    </w:pP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0CA293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108</Words>
  <Characters>622</Characters>
  <Lines>5</Lines>
  <Paragraphs>1</Paragraphs>
  <TotalTime>5</TotalTime>
  <ScaleCrop>false</ScaleCrop>
  <LinksUpToDate>false</LinksUpToDate>
  <CharactersWithSpaces>729</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叶子</cp:lastModifiedBy>
  <dcterms:modified xsi:type="dcterms:W3CDTF">2021-09-14T01:06:53Z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2052-11.1.0.10700</vt:lpwstr>
  </property>
</Properties>
</file>